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5538F7" w14:textId="77777777" w:rsidR="00753DDE" w:rsidRDefault="00753DDE" w:rsidP="001B4280">
      <w:pPr>
        <w:pStyle w:val="AuditnconclusionTitre"/>
        <w:jc w:val="both"/>
        <w:rPr>
          <w:rFonts w:ascii="Calibri" w:hAnsi="Calibri"/>
          <w:sz w:val="24"/>
        </w:rPr>
      </w:pPr>
    </w:p>
    <w:p w14:paraId="39771E7E" w14:textId="77777777" w:rsidR="00753DDE" w:rsidRPr="00C217D3" w:rsidRDefault="00753DDE" w:rsidP="001B4280">
      <w:pPr>
        <w:pStyle w:val="AuditnconclusionChapitre"/>
        <w:spacing w:before="240"/>
        <w:ind w:left="357" w:hanging="357"/>
        <w:jc w:val="both"/>
        <w:rPr>
          <w:rFonts w:ascii="Calibri" w:hAnsi="Calibri"/>
        </w:rPr>
      </w:pPr>
      <w:r w:rsidRPr="00C217D3">
        <w:rPr>
          <w:rFonts w:ascii="Calibri" w:hAnsi="Calibri"/>
        </w:rPr>
        <w:t>APPROCHE D'AUDIT</w:t>
      </w:r>
    </w:p>
    <w:p w14:paraId="29D99B8C" w14:textId="77777777" w:rsidR="00753DDE" w:rsidRPr="00C217D3" w:rsidRDefault="00753DDE" w:rsidP="001B4280">
      <w:pPr>
        <w:pStyle w:val="AuditnconclusionChapitre"/>
        <w:numPr>
          <w:ilvl w:val="0"/>
          <w:numId w:val="0"/>
        </w:numPr>
        <w:tabs>
          <w:tab w:val="left" w:pos="708"/>
        </w:tabs>
        <w:spacing w:before="0" w:after="0"/>
        <w:jc w:val="both"/>
        <w:rPr>
          <w:rFonts w:ascii="Calibri" w:hAnsi="Calibri"/>
          <w:b w:val="0"/>
          <w:sz w:val="22"/>
        </w:rPr>
      </w:pPr>
    </w:p>
    <w:p w14:paraId="1C31002F" w14:textId="77777777" w:rsidR="00753DDE" w:rsidRPr="00C217D3" w:rsidRDefault="00753DDE" w:rsidP="001B4280">
      <w:pPr>
        <w:pStyle w:val="AuditnconclusionTitreattribut"/>
        <w:numPr>
          <w:ilvl w:val="1"/>
          <w:numId w:val="2"/>
        </w:numPr>
        <w:jc w:val="both"/>
        <w:rPr>
          <w:rFonts w:ascii="Calibri" w:hAnsi="Calibri"/>
        </w:rPr>
      </w:pPr>
      <w:r w:rsidRPr="00C217D3">
        <w:rPr>
          <w:rFonts w:ascii="Calibri" w:hAnsi="Calibri"/>
        </w:rPr>
        <w:t>Point(s) à suivre de l'exercice précédent</w:t>
      </w:r>
    </w:p>
    <w:p w14:paraId="1EE0D901" w14:textId="77777777" w:rsidR="00753DDE" w:rsidRPr="00C217D3" w:rsidRDefault="00753DDE" w:rsidP="001B4280">
      <w:pPr>
        <w:pStyle w:val="Auditnormal"/>
        <w:rPr>
          <w:rFonts w:ascii="Calibri" w:hAnsi="Calibri"/>
        </w:rPr>
      </w:pPr>
      <w:r w:rsidRPr="00C217D3">
        <w:rPr>
          <w:rFonts w:ascii="Calibri" w:hAnsi="Calibri"/>
        </w:rPr>
        <w:t>Suivi des fi</w:t>
      </w:r>
      <w:r w:rsidR="003B3C00" w:rsidRPr="00C217D3">
        <w:rPr>
          <w:rFonts w:ascii="Calibri" w:hAnsi="Calibri"/>
        </w:rPr>
        <w:t>l</w:t>
      </w:r>
      <w:r w:rsidRPr="00C217D3">
        <w:rPr>
          <w:rFonts w:ascii="Calibri" w:hAnsi="Calibri"/>
        </w:rPr>
        <w:t>ms</w:t>
      </w:r>
    </w:p>
    <w:p w14:paraId="32F1AB3E" w14:textId="77777777" w:rsidR="00753DDE" w:rsidRPr="00C217D3" w:rsidRDefault="00753DDE" w:rsidP="001B4280">
      <w:pPr>
        <w:pStyle w:val="AuditnconclusionTitreattribut"/>
        <w:numPr>
          <w:ilvl w:val="1"/>
          <w:numId w:val="2"/>
        </w:numPr>
        <w:jc w:val="both"/>
        <w:rPr>
          <w:rFonts w:ascii="Calibri" w:hAnsi="Calibri"/>
        </w:rPr>
      </w:pPr>
      <w:r w:rsidRPr="00C217D3">
        <w:rPr>
          <w:rFonts w:ascii="Calibri" w:hAnsi="Calibri"/>
        </w:rPr>
        <w:t>Rappel des seuils</w:t>
      </w:r>
    </w:p>
    <w:p w14:paraId="7C4345FB" w14:textId="77777777" w:rsidR="00753DDE" w:rsidRPr="00C217D3" w:rsidRDefault="00753DDE" w:rsidP="001B4280">
      <w:pPr>
        <w:pStyle w:val="Paragraphedeliste"/>
        <w:jc w:val="both"/>
        <w:rPr>
          <w:rFonts w:ascii="Calibri" w:hAnsi="Calibri"/>
        </w:rPr>
      </w:pPr>
    </w:p>
    <w:p w14:paraId="3BE0B3EE" w14:textId="77777777" w:rsidR="00753DDE" w:rsidRPr="00C217D3" w:rsidRDefault="00753DDE" w:rsidP="001B4280">
      <w:pPr>
        <w:pStyle w:val="AuditnconclusionTitreattribut"/>
        <w:numPr>
          <w:ilvl w:val="2"/>
          <w:numId w:val="2"/>
        </w:numPr>
        <w:jc w:val="both"/>
        <w:rPr>
          <w:rFonts w:ascii="Calibri" w:hAnsi="Calibri"/>
          <w:sz w:val="22"/>
        </w:rPr>
      </w:pPr>
      <w:r w:rsidRPr="00C217D3">
        <w:rPr>
          <w:rFonts w:ascii="Calibri" w:hAnsi="Calibri"/>
          <w:sz w:val="22"/>
        </w:rPr>
        <w:t>Seuil de planification des comptes pris dans leur ensemble</w:t>
      </w:r>
    </w:p>
    <w:p w14:paraId="36639424" w14:textId="77777777" w:rsidR="00753DDE" w:rsidRPr="00C217D3" w:rsidRDefault="00753DDE" w:rsidP="001B4280">
      <w:pPr>
        <w:pStyle w:val="AuditnconclusionTitreattribut"/>
        <w:spacing w:before="0" w:after="0"/>
        <w:ind w:left="357"/>
        <w:jc w:val="both"/>
        <w:rPr>
          <w:rFonts w:ascii="Calibri" w:hAnsi="Calibri"/>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1"/>
        <w:gridCol w:w="3192"/>
        <w:gridCol w:w="2679"/>
      </w:tblGrid>
      <w:tr w:rsidR="00753DDE" w:rsidRPr="00C217D3" w14:paraId="6AE8491A" w14:textId="77777777" w:rsidTr="005A46F2">
        <w:tc>
          <w:tcPr>
            <w:tcW w:w="1761" w:type="pct"/>
            <w:tcBorders>
              <w:top w:val="single" w:sz="4" w:space="0" w:color="000000"/>
              <w:left w:val="single" w:sz="4" w:space="0" w:color="000000"/>
              <w:bottom w:val="single" w:sz="4" w:space="0" w:color="000000"/>
              <w:right w:val="single" w:sz="4" w:space="0" w:color="000000"/>
            </w:tcBorders>
          </w:tcPr>
          <w:p w14:paraId="25370B63" w14:textId="77777777" w:rsidR="00753DDE" w:rsidRPr="00C217D3" w:rsidRDefault="00753DDE" w:rsidP="001B4280">
            <w:pPr>
              <w:jc w:val="both"/>
              <w:rPr>
                <w:rFonts w:ascii="Calibri" w:hAnsi="Calibri"/>
                <w:sz w:val="20"/>
              </w:rPr>
            </w:pPr>
          </w:p>
        </w:tc>
        <w:tc>
          <w:tcPr>
            <w:tcW w:w="1761" w:type="pct"/>
            <w:tcBorders>
              <w:top w:val="single" w:sz="4" w:space="0" w:color="000000"/>
              <w:left w:val="single" w:sz="4" w:space="0" w:color="000000"/>
              <w:bottom w:val="single" w:sz="4" w:space="0" w:color="000000"/>
              <w:right w:val="single" w:sz="4" w:space="0" w:color="000000"/>
            </w:tcBorders>
            <w:hideMark/>
          </w:tcPr>
          <w:p w14:paraId="4BBC946E" w14:textId="77777777" w:rsidR="00753DDE" w:rsidRPr="00C217D3" w:rsidRDefault="00753DDE" w:rsidP="001B4280">
            <w:pPr>
              <w:jc w:val="both"/>
              <w:rPr>
                <w:rFonts w:ascii="Calibri" w:hAnsi="Calibri"/>
                <w:sz w:val="20"/>
              </w:rPr>
            </w:pPr>
            <w:r w:rsidRPr="00C217D3">
              <w:rPr>
                <w:rFonts w:ascii="Calibri" w:hAnsi="Calibri"/>
                <w:sz w:val="20"/>
              </w:rPr>
              <w:t>Lors de la planification</w:t>
            </w:r>
          </w:p>
        </w:tc>
        <w:tc>
          <w:tcPr>
            <w:tcW w:w="1478" w:type="pct"/>
            <w:tcBorders>
              <w:top w:val="single" w:sz="4" w:space="0" w:color="000000"/>
              <w:left w:val="single" w:sz="4" w:space="0" w:color="000000"/>
              <w:bottom w:val="single" w:sz="4" w:space="0" w:color="000000"/>
              <w:right w:val="single" w:sz="4" w:space="0" w:color="000000"/>
            </w:tcBorders>
            <w:hideMark/>
          </w:tcPr>
          <w:p w14:paraId="1C971408" w14:textId="77777777" w:rsidR="00753DDE" w:rsidRPr="00C217D3" w:rsidRDefault="00753DDE" w:rsidP="001B4280">
            <w:pPr>
              <w:jc w:val="both"/>
              <w:rPr>
                <w:rFonts w:ascii="Calibri" w:hAnsi="Calibri"/>
                <w:sz w:val="20"/>
              </w:rPr>
            </w:pPr>
            <w:r w:rsidRPr="00C217D3">
              <w:rPr>
                <w:rFonts w:ascii="Calibri" w:hAnsi="Calibri"/>
                <w:sz w:val="20"/>
              </w:rPr>
              <w:t>Au final</w:t>
            </w:r>
          </w:p>
        </w:tc>
      </w:tr>
      <w:tr w:rsidR="00753DDE" w:rsidRPr="00C217D3" w14:paraId="1BC823DE" w14:textId="77777777" w:rsidTr="005A46F2">
        <w:tc>
          <w:tcPr>
            <w:tcW w:w="1761" w:type="pct"/>
            <w:tcBorders>
              <w:top w:val="single" w:sz="4" w:space="0" w:color="000000"/>
              <w:left w:val="single" w:sz="4" w:space="0" w:color="000000"/>
              <w:bottom w:val="single" w:sz="4" w:space="0" w:color="000000"/>
              <w:right w:val="single" w:sz="4" w:space="0" w:color="000000"/>
            </w:tcBorders>
            <w:hideMark/>
          </w:tcPr>
          <w:p w14:paraId="6C494E3F" w14:textId="77777777" w:rsidR="00753DDE" w:rsidRPr="00C217D3" w:rsidRDefault="00753DDE" w:rsidP="001B4280">
            <w:pPr>
              <w:jc w:val="both"/>
              <w:rPr>
                <w:rFonts w:ascii="Calibri" w:hAnsi="Calibri"/>
                <w:sz w:val="20"/>
              </w:rPr>
            </w:pPr>
            <w:r w:rsidRPr="00C217D3">
              <w:rPr>
                <w:rFonts w:ascii="Calibri" w:hAnsi="Calibri"/>
                <w:sz w:val="20"/>
              </w:rPr>
              <w:t>Seuil de planification pour les états financiers pris dans leur ensemble</w:t>
            </w:r>
          </w:p>
        </w:tc>
        <w:tc>
          <w:tcPr>
            <w:tcW w:w="1761" w:type="pct"/>
            <w:tcBorders>
              <w:top w:val="single" w:sz="4" w:space="0" w:color="000000"/>
              <w:left w:val="single" w:sz="4" w:space="0" w:color="000000"/>
              <w:bottom w:val="single" w:sz="4" w:space="0" w:color="000000"/>
              <w:right w:val="single" w:sz="4" w:space="0" w:color="000000"/>
            </w:tcBorders>
            <w:hideMark/>
          </w:tcPr>
          <w:p w14:paraId="534BC4FD" w14:textId="77777777" w:rsidR="00753DDE" w:rsidRPr="00C217D3" w:rsidRDefault="00753DDE" w:rsidP="001B4280">
            <w:pPr>
              <w:jc w:val="both"/>
              <w:rPr>
                <w:rFonts w:ascii="Calibri" w:hAnsi="Calibri"/>
                <w:sz w:val="20"/>
              </w:rPr>
            </w:pPr>
            <w:bookmarkStart w:id="0" w:name="ZONEç6673ç0çFalse"/>
            <w:r w:rsidRPr="00C217D3">
              <w:rPr>
                <w:rFonts w:ascii="Calibri" w:hAnsi="Calibri"/>
                <w:sz w:val="20"/>
              </w:rPr>
              <w:t xml:space="preserve"> </w:t>
            </w:r>
            <w:bookmarkEnd w:id="0"/>
            <w:r w:rsidRPr="00C217D3">
              <w:rPr>
                <w:rFonts w:ascii="Calibri" w:hAnsi="Calibri"/>
                <w:sz w:val="20"/>
              </w:rPr>
              <w:t>DAG</w:t>
            </w:r>
          </w:p>
        </w:tc>
        <w:tc>
          <w:tcPr>
            <w:tcW w:w="1478" w:type="pct"/>
            <w:tcBorders>
              <w:top w:val="single" w:sz="4" w:space="0" w:color="000000"/>
              <w:left w:val="single" w:sz="4" w:space="0" w:color="000000"/>
              <w:bottom w:val="single" w:sz="4" w:space="0" w:color="000000"/>
              <w:right w:val="single" w:sz="4" w:space="0" w:color="000000"/>
            </w:tcBorders>
            <w:hideMark/>
          </w:tcPr>
          <w:p w14:paraId="1CD112BA" w14:textId="77777777" w:rsidR="00753DDE" w:rsidRPr="00C217D3" w:rsidRDefault="00753DDE" w:rsidP="001B4280">
            <w:pPr>
              <w:jc w:val="both"/>
              <w:rPr>
                <w:rFonts w:ascii="Calibri" w:hAnsi="Calibri"/>
                <w:sz w:val="20"/>
              </w:rPr>
            </w:pPr>
            <w:bookmarkStart w:id="1" w:name="ZONEç6674ç0çTrue"/>
            <w:r w:rsidRPr="00C217D3">
              <w:rPr>
                <w:rFonts w:ascii="Calibri" w:hAnsi="Calibri"/>
                <w:sz w:val="20"/>
              </w:rPr>
              <w:t xml:space="preserve"> </w:t>
            </w:r>
            <w:bookmarkEnd w:id="1"/>
            <w:r w:rsidRPr="00C217D3">
              <w:rPr>
                <w:rFonts w:ascii="Calibri" w:hAnsi="Calibri"/>
                <w:sz w:val="20"/>
              </w:rPr>
              <w:t>DAG</w:t>
            </w:r>
          </w:p>
        </w:tc>
      </w:tr>
    </w:tbl>
    <w:p w14:paraId="6814BB43" w14:textId="77777777" w:rsidR="00753DDE" w:rsidRPr="00C217D3" w:rsidRDefault="00753DDE" w:rsidP="001B4280">
      <w:pPr>
        <w:pStyle w:val="AuditnconclusionTitreattribut"/>
        <w:spacing w:before="0" w:after="0"/>
        <w:ind w:left="357"/>
        <w:jc w:val="both"/>
        <w:rPr>
          <w:rFonts w:ascii="Calibri" w:hAnsi="Calibri"/>
          <w:b w:val="0"/>
          <w:sz w:val="22"/>
        </w:rPr>
      </w:pPr>
    </w:p>
    <w:p w14:paraId="7E60DB58" w14:textId="77777777" w:rsidR="00753DDE" w:rsidRPr="00C217D3" w:rsidRDefault="00753DDE" w:rsidP="001B4280">
      <w:pPr>
        <w:pStyle w:val="AuditnconclusionTitreattribut"/>
        <w:spacing w:before="0" w:after="0"/>
        <w:ind w:left="357"/>
        <w:jc w:val="both"/>
        <w:rPr>
          <w:rFonts w:ascii="Calibri" w:hAnsi="Calibri"/>
          <w:b w:val="0"/>
          <w:i/>
          <w:sz w:val="20"/>
        </w:rPr>
      </w:pPr>
      <w:r w:rsidRPr="00C217D3">
        <w:rPr>
          <w:rFonts w:ascii="Calibri" w:hAnsi="Calibri"/>
          <w:b w:val="0"/>
          <w:i/>
          <w:sz w:val="20"/>
        </w:rPr>
        <w:t>N.B. : Dans le cas où, vous auriez défini dans l’outil « Détermination des seuils de signification et de planification », un seuil de planification spécifique pour ce cycle, il conviendra de le prendre en compte et de le rappeler ici, en plus du seuil de planification des comptes pris dans leur ensemble.</w:t>
      </w:r>
    </w:p>
    <w:p w14:paraId="64CBAF49" w14:textId="77777777" w:rsidR="00753DDE" w:rsidRPr="00C217D3" w:rsidRDefault="00753DDE" w:rsidP="001B4280">
      <w:pPr>
        <w:pStyle w:val="AuditnconclusionTitreattribut"/>
        <w:spacing w:before="0" w:after="0"/>
        <w:ind w:left="357"/>
        <w:jc w:val="both"/>
        <w:rPr>
          <w:rFonts w:ascii="Calibri" w:hAnsi="Calibri"/>
          <w:b w:val="0"/>
          <w:sz w:val="22"/>
        </w:rPr>
      </w:pPr>
    </w:p>
    <w:p w14:paraId="75106825" w14:textId="77777777" w:rsidR="00753DDE" w:rsidRPr="00C217D3" w:rsidRDefault="00753DDE" w:rsidP="001B4280">
      <w:pPr>
        <w:pStyle w:val="AuditnconclusionTitreattribut"/>
        <w:numPr>
          <w:ilvl w:val="2"/>
          <w:numId w:val="2"/>
        </w:numPr>
        <w:jc w:val="both"/>
        <w:rPr>
          <w:rFonts w:ascii="Calibri" w:hAnsi="Calibri"/>
          <w:sz w:val="22"/>
        </w:rPr>
      </w:pPr>
      <w:r w:rsidRPr="00C217D3">
        <w:rPr>
          <w:rFonts w:ascii="Calibri" w:hAnsi="Calibri"/>
          <w:sz w:val="22"/>
        </w:rPr>
        <w:t>Seuil d’anomalies manifestement insignifiantes retenu</w:t>
      </w:r>
    </w:p>
    <w:p w14:paraId="11785179" w14:textId="77777777" w:rsidR="00753DDE" w:rsidRPr="00C217D3" w:rsidRDefault="00753DDE" w:rsidP="001B4280">
      <w:pPr>
        <w:pStyle w:val="AuditnconclusionTitreattribut"/>
        <w:spacing w:before="0" w:after="0"/>
        <w:ind w:left="360"/>
        <w:jc w:val="both"/>
        <w:rPr>
          <w:rFonts w:ascii="Calibri" w:hAnsi="Calibri"/>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05"/>
        <w:gridCol w:w="4357"/>
      </w:tblGrid>
      <w:tr w:rsidR="00753DDE" w:rsidRPr="00C217D3" w14:paraId="58C683B9" w14:textId="77777777" w:rsidTr="005A46F2">
        <w:tc>
          <w:tcPr>
            <w:tcW w:w="2596" w:type="pct"/>
            <w:tcBorders>
              <w:top w:val="single" w:sz="4" w:space="0" w:color="000000"/>
              <w:left w:val="single" w:sz="4" w:space="0" w:color="000000"/>
              <w:bottom w:val="single" w:sz="4" w:space="0" w:color="000000"/>
              <w:right w:val="single" w:sz="4" w:space="0" w:color="000000"/>
            </w:tcBorders>
            <w:hideMark/>
          </w:tcPr>
          <w:p w14:paraId="4FDA5683" w14:textId="77777777" w:rsidR="00753DDE" w:rsidRPr="00C217D3" w:rsidRDefault="00753DDE" w:rsidP="001B4280">
            <w:pPr>
              <w:jc w:val="both"/>
              <w:rPr>
                <w:rFonts w:ascii="Calibri" w:hAnsi="Calibri"/>
                <w:sz w:val="20"/>
              </w:rPr>
            </w:pPr>
            <w:r w:rsidRPr="00C217D3">
              <w:rPr>
                <w:rFonts w:ascii="Calibri" w:hAnsi="Calibri"/>
                <w:sz w:val="20"/>
              </w:rPr>
              <w:t>Seuil d’anomalie manifestement insignifiante</w:t>
            </w:r>
          </w:p>
        </w:tc>
        <w:tc>
          <w:tcPr>
            <w:tcW w:w="2404" w:type="pct"/>
            <w:tcBorders>
              <w:top w:val="single" w:sz="4" w:space="0" w:color="000000"/>
              <w:left w:val="single" w:sz="4" w:space="0" w:color="000000"/>
              <w:bottom w:val="single" w:sz="4" w:space="0" w:color="000000"/>
              <w:right w:val="single" w:sz="4" w:space="0" w:color="000000"/>
            </w:tcBorders>
            <w:hideMark/>
          </w:tcPr>
          <w:p w14:paraId="0635CB57" w14:textId="05C56752" w:rsidR="00753DDE" w:rsidRPr="00C217D3" w:rsidRDefault="00753DDE" w:rsidP="001B4280">
            <w:pPr>
              <w:jc w:val="both"/>
              <w:rPr>
                <w:rFonts w:ascii="Calibri" w:hAnsi="Calibri"/>
                <w:sz w:val="20"/>
              </w:rPr>
            </w:pPr>
            <w:bookmarkStart w:id="2" w:name="ZONEç6676ç0çFalse"/>
            <w:r w:rsidRPr="00C217D3">
              <w:rPr>
                <w:rFonts w:ascii="Calibri" w:hAnsi="Calibri"/>
                <w:sz w:val="20"/>
              </w:rPr>
              <w:t xml:space="preserve"> </w:t>
            </w:r>
            <w:bookmarkEnd w:id="2"/>
            <w:r w:rsidR="00C217D3">
              <w:rPr>
                <w:rFonts w:ascii="Calibri" w:hAnsi="Calibri"/>
                <w:sz w:val="20"/>
              </w:rPr>
              <w:t xml:space="preserve">125 </w:t>
            </w:r>
            <w:r w:rsidRPr="00C217D3">
              <w:rPr>
                <w:rFonts w:ascii="Calibri" w:hAnsi="Calibri"/>
                <w:sz w:val="20"/>
              </w:rPr>
              <w:t>K€</w:t>
            </w:r>
          </w:p>
        </w:tc>
      </w:tr>
    </w:tbl>
    <w:p w14:paraId="52B8361C" w14:textId="77777777" w:rsidR="00753DDE" w:rsidRPr="00C217D3" w:rsidRDefault="00753DDE" w:rsidP="001B4280">
      <w:pPr>
        <w:pStyle w:val="AuditnconclusionTitreattribut"/>
        <w:spacing w:before="0" w:after="0"/>
        <w:ind w:left="357"/>
        <w:jc w:val="both"/>
        <w:rPr>
          <w:rFonts w:ascii="Calibri" w:hAnsi="Calibri"/>
          <w:b w:val="0"/>
          <w:sz w:val="22"/>
        </w:rPr>
      </w:pPr>
    </w:p>
    <w:p w14:paraId="0000AB37" w14:textId="77777777" w:rsidR="00753DDE" w:rsidRPr="00C217D3" w:rsidRDefault="00753DDE" w:rsidP="001B4280">
      <w:pPr>
        <w:pStyle w:val="AuditnconclusionTitreattribut"/>
        <w:spacing w:before="0" w:after="0"/>
        <w:ind w:left="357"/>
        <w:jc w:val="both"/>
        <w:rPr>
          <w:rFonts w:ascii="Calibri" w:hAnsi="Calibri"/>
          <w:b w:val="0"/>
          <w:sz w:val="22"/>
        </w:rPr>
      </w:pPr>
    </w:p>
    <w:p w14:paraId="34B504B2" w14:textId="77777777" w:rsidR="00753DDE" w:rsidRPr="00C217D3" w:rsidRDefault="00753DDE" w:rsidP="00A7357C">
      <w:pPr>
        <w:pStyle w:val="AuditnconclusionTitreattribut"/>
        <w:numPr>
          <w:ilvl w:val="1"/>
          <w:numId w:val="2"/>
        </w:numPr>
        <w:shd w:val="clear" w:color="auto" w:fill="FFFFFF" w:themeFill="background1"/>
        <w:jc w:val="both"/>
        <w:rPr>
          <w:rFonts w:ascii="Calibri" w:hAnsi="Calibri"/>
        </w:rPr>
      </w:pPr>
      <w:r w:rsidRPr="00C217D3">
        <w:rPr>
          <w:rFonts w:ascii="Calibri" w:hAnsi="Calibri"/>
        </w:rPr>
        <w:t>Niveaux de risques sur le cycle</w:t>
      </w:r>
    </w:p>
    <w:tbl>
      <w:tblPr>
        <w:tblW w:w="5000" w:type="pct"/>
        <w:tblCellMar>
          <w:left w:w="0" w:type="dxa"/>
          <w:right w:w="0" w:type="dxa"/>
        </w:tblCellMar>
        <w:tblLook w:val="04A0" w:firstRow="1" w:lastRow="0" w:firstColumn="1" w:lastColumn="0" w:noHBand="0" w:noVBand="1"/>
      </w:tblPr>
      <w:tblGrid>
        <w:gridCol w:w="1319"/>
        <w:gridCol w:w="1282"/>
        <w:gridCol w:w="1282"/>
        <w:gridCol w:w="1282"/>
        <w:gridCol w:w="1282"/>
        <w:gridCol w:w="1283"/>
        <w:gridCol w:w="1296"/>
      </w:tblGrid>
      <w:tr w:rsidR="00753DDE" w:rsidRPr="006328FB" w14:paraId="31B44E01" w14:textId="77777777" w:rsidTr="005A46F2">
        <w:trPr>
          <w:trHeight w:val="255"/>
        </w:trPr>
        <w:tc>
          <w:tcPr>
            <w:tcW w:w="730" w:type="pct"/>
            <w:tcBorders>
              <w:top w:val="double" w:sz="6" w:space="0" w:color="000000"/>
              <w:left w:val="double" w:sz="6" w:space="0" w:color="000000"/>
              <w:bottom w:val="double" w:sz="6" w:space="0" w:color="000000"/>
              <w:right w:val="single" w:sz="6" w:space="0" w:color="000000"/>
            </w:tcBorders>
            <w:shd w:val="clear" w:color="auto" w:fill="FFCC99"/>
            <w:vAlign w:val="center"/>
            <w:hideMark/>
          </w:tcPr>
          <w:p w14:paraId="1F81DE7C" w14:textId="77777777" w:rsidR="00753DDE" w:rsidRPr="006328FB" w:rsidRDefault="00753DDE" w:rsidP="00A7357C">
            <w:pPr>
              <w:shd w:val="clear" w:color="auto" w:fill="FFFFFF" w:themeFill="background1"/>
              <w:jc w:val="both"/>
              <w:rPr>
                <w:b/>
                <w:bCs/>
                <w:sz w:val="20"/>
                <w:highlight w:val="lightGray"/>
              </w:rPr>
            </w:pPr>
            <w:bookmarkStart w:id="3" w:name="TçM11X0195ç105C53ç106C59ççYçTrue"/>
            <w:r w:rsidRPr="006328FB">
              <w:rPr>
                <w:b/>
                <w:bCs/>
                <w:sz w:val="20"/>
                <w:highlight w:val="lightGray"/>
              </w:rPr>
              <w:t>Libellé</w:t>
            </w:r>
          </w:p>
        </w:tc>
        <w:tc>
          <w:tcPr>
            <w:tcW w:w="710" w:type="pct"/>
            <w:tcBorders>
              <w:top w:val="double" w:sz="6" w:space="0" w:color="000000"/>
              <w:left w:val="single" w:sz="6" w:space="0" w:color="000000"/>
              <w:bottom w:val="double" w:sz="6" w:space="0" w:color="000000"/>
              <w:right w:val="single" w:sz="6" w:space="0" w:color="000000"/>
            </w:tcBorders>
            <w:shd w:val="clear" w:color="auto" w:fill="FFCC99"/>
            <w:vAlign w:val="center"/>
            <w:hideMark/>
          </w:tcPr>
          <w:p w14:paraId="5440F6B0" w14:textId="77777777" w:rsidR="00753DDE" w:rsidRPr="006328FB" w:rsidRDefault="00753DDE" w:rsidP="00A7357C">
            <w:pPr>
              <w:shd w:val="clear" w:color="auto" w:fill="FFFFFF" w:themeFill="background1"/>
              <w:jc w:val="both"/>
              <w:rPr>
                <w:b/>
                <w:bCs/>
                <w:sz w:val="20"/>
                <w:highlight w:val="lightGray"/>
              </w:rPr>
            </w:pPr>
            <w:r w:rsidRPr="006328FB">
              <w:rPr>
                <w:b/>
                <w:bCs/>
                <w:sz w:val="20"/>
                <w:highlight w:val="lightGray"/>
              </w:rPr>
              <w:t>Risque de fraude</w:t>
            </w:r>
          </w:p>
        </w:tc>
        <w:tc>
          <w:tcPr>
            <w:tcW w:w="710" w:type="pct"/>
            <w:tcBorders>
              <w:top w:val="double" w:sz="6" w:space="0" w:color="000000"/>
              <w:left w:val="single" w:sz="6" w:space="0" w:color="000000"/>
              <w:bottom w:val="double" w:sz="6" w:space="0" w:color="000000"/>
              <w:right w:val="single" w:sz="6" w:space="0" w:color="000000"/>
            </w:tcBorders>
            <w:shd w:val="clear" w:color="auto" w:fill="FFCC99"/>
            <w:vAlign w:val="center"/>
            <w:hideMark/>
          </w:tcPr>
          <w:p w14:paraId="5B44AE41" w14:textId="77777777" w:rsidR="00753DDE" w:rsidRPr="006328FB" w:rsidRDefault="00753DDE" w:rsidP="00A7357C">
            <w:pPr>
              <w:shd w:val="clear" w:color="auto" w:fill="FFFFFF" w:themeFill="background1"/>
              <w:jc w:val="both"/>
              <w:rPr>
                <w:b/>
                <w:bCs/>
                <w:sz w:val="20"/>
                <w:highlight w:val="lightGray"/>
              </w:rPr>
            </w:pPr>
            <w:r w:rsidRPr="006328FB">
              <w:rPr>
                <w:b/>
                <w:bCs/>
                <w:sz w:val="20"/>
                <w:highlight w:val="lightGray"/>
              </w:rPr>
              <w:t>Matérialité du cycle</w:t>
            </w:r>
          </w:p>
        </w:tc>
        <w:tc>
          <w:tcPr>
            <w:tcW w:w="710" w:type="pct"/>
            <w:tcBorders>
              <w:top w:val="double" w:sz="6" w:space="0" w:color="000000"/>
              <w:left w:val="single" w:sz="6" w:space="0" w:color="000000"/>
              <w:bottom w:val="double" w:sz="6" w:space="0" w:color="000000"/>
              <w:right w:val="single" w:sz="6" w:space="0" w:color="000000"/>
            </w:tcBorders>
            <w:shd w:val="clear" w:color="auto" w:fill="FFCC99"/>
            <w:vAlign w:val="center"/>
            <w:hideMark/>
          </w:tcPr>
          <w:p w14:paraId="74DDD82A" w14:textId="77777777" w:rsidR="00753DDE" w:rsidRPr="006328FB" w:rsidRDefault="00753DDE" w:rsidP="00A7357C">
            <w:pPr>
              <w:shd w:val="clear" w:color="auto" w:fill="FFFFFF" w:themeFill="background1"/>
              <w:jc w:val="both"/>
              <w:rPr>
                <w:b/>
                <w:bCs/>
                <w:sz w:val="20"/>
                <w:highlight w:val="lightGray"/>
              </w:rPr>
            </w:pPr>
            <w:r w:rsidRPr="006328FB">
              <w:rPr>
                <w:b/>
                <w:bCs/>
                <w:sz w:val="20"/>
                <w:highlight w:val="lightGray"/>
              </w:rPr>
              <w:t>Risque inhérent</w:t>
            </w:r>
          </w:p>
        </w:tc>
        <w:tc>
          <w:tcPr>
            <w:tcW w:w="710" w:type="pct"/>
            <w:tcBorders>
              <w:top w:val="double" w:sz="6" w:space="0" w:color="000000"/>
              <w:left w:val="single" w:sz="6" w:space="0" w:color="000000"/>
              <w:bottom w:val="double" w:sz="6" w:space="0" w:color="000000"/>
              <w:right w:val="single" w:sz="24" w:space="0" w:color="000000"/>
            </w:tcBorders>
            <w:shd w:val="clear" w:color="auto" w:fill="FFCC99"/>
            <w:vAlign w:val="center"/>
            <w:hideMark/>
          </w:tcPr>
          <w:p w14:paraId="7DBABA51" w14:textId="77777777" w:rsidR="00753DDE" w:rsidRPr="006328FB" w:rsidRDefault="00753DDE" w:rsidP="00A7357C">
            <w:pPr>
              <w:shd w:val="clear" w:color="auto" w:fill="FFFFFF" w:themeFill="background1"/>
              <w:jc w:val="both"/>
              <w:rPr>
                <w:b/>
                <w:bCs/>
                <w:sz w:val="20"/>
                <w:highlight w:val="lightGray"/>
              </w:rPr>
            </w:pPr>
            <w:r w:rsidRPr="006328FB">
              <w:rPr>
                <w:b/>
                <w:bCs/>
                <w:sz w:val="20"/>
                <w:highlight w:val="lightGray"/>
              </w:rPr>
              <w:t>Risque lié au contrôle interne</w:t>
            </w:r>
          </w:p>
        </w:tc>
        <w:tc>
          <w:tcPr>
            <w:tcW w:w="711" w:type="pct"/>
            <w:tcBorders>
              <w:top w:val="double" w:sz="6" w:space="0" w:color="000000"/>
              <w:left w:val="single" w:sz="24" w:space="0" w:color="000000"/>
              <w:bottom w:val="double" w:sz="6" w:space="0" w:color="000000"/>
              <w:right w:val="single" w:sz="24" w:space="0" w:color="000000"/>
            </w:tcBorders>
            <w:shd w:val="clear" w:color="auto" w:fill="FFCC99"/>
            <w:vAlign w:val="center"/>
            <w:hideMark/>
          </w:tcPr>
          <w:p w14:paraId="7F8AA763" w14:textId="77777777" w:rsidR="00753DDE" w:rsidRPr="006328FB" w:rsidRDefault="00753DDE" w:rsidP="00A7357C">
            <w:pPr>
              <w:shd w:val="clear" w:color="auto" w:fill="FFFFFF" w:themeFill="background1"/>
              <w:jc w:val="both"/>
              <w:rPr>
                <w:b/>
                <w:bCs/>
                <w:sz w:val="20"/>
                <w:highlight w:val="lightGray"/>
              </w:rPr>
            </w:pPr>
            <w:r w:rsidRPr="006328FB">
              <w:rPr>
                <w:b/>
                <w:bCs/>
                <w:sz w:val="20"/>
                <w:highlight w:val="lightGray"/>
              </w:rPr>
              <w:t>Niveau théorique de diligences</w:t>
            </w:r>
          </w:p>
        </w:tc>
        <w:tc>
          <w:tcPr>
            <w:tcW w:w="718" w:type="pct"/>
            <w:tcBorders>
              <w:top w:val="double" w:sz="6" w:space="0" w:color="000000"/>
              <w:left w:val="single" w:sz="24" w:space="0" w:color="000000"/>
              <w:bottom w:val="double" w:sz="6" w:space="0" w:color="000000"/>
              <w:right w:val="double" w:sz="6" w:space="0" w:color="000000"/>
            </w:tcBorders>
            <w:shd w:val="clear" w:color="auto" w:fill="FFCC99"/>
            <w:vAlign w:val="center"/>
            <w:hideMark/>
          </w:tcPr>
          <w:p w14:paraId="05448BD0" w14:textId="77777777" w:rsidR="00753DDE" w:rsidRPr="006328FB" w:rsidRDefault="00753DDE" w:rsidP="00A7357C">
            <w:pPr>
              <w:shd w:val="clear" w:color="auto" w:fill="FFFFFF" w:themeFill="background1"/>
              <w:jc w:val="both"/>
              <w:rPr>
                <w:b/>
                <w:bCs/>
                <w:sz w:val="20"/>
                <w:highlight w:val="lightGray"/>
              </w:rPr>
            </w:pPr>
            <w:r w:rsidRPr="006328FB">
              <w:rPr>
                <w:b/>
                <w:bCs/>
                <w:sz w:val="20"/>
                <w:highlight w:val="lightGray"/>
              </w:rPr>
              <w:t>Commentaires</w:t>
            </w:r>
          </w:p>
        </w:tc>
      </w:tr>
      <w:tr w:rsidR="00753DDE" w:rsidRPr="006328FB" w14:paraId="26E98D2F" w14:textId="77777777" w:rsidTr="005A46F2">
        <w:trPr>
          <w:trHeight w:val="255"/>
        </w:trPr>
        <w:tc>
          <w:tcPr>
            <w:tcW w:w="730" w:type="pct"/>
            <w:tcBorders>
              <w:top w:val="double" w:sz="6" w:space="0" w:color="000000"/>
              <w:left w:val="double" w:sz="6" w:space="0" w:color="000000"/>
              <w:bottom w:val="double" w:sz="6" w:space="0" w:color="000000"/>
              <w:right w:val="single" w:sz="6" w:space="0" w:color="000000"/>
            </w:tcBorders>
            <w:shd w:val="clear" w:color="auto" w:fill="FFCC99"/>
            <w:vAlign w:val="center"/>
            <w:hideMark/>
          </w:tcPr>
          <w:p w14:paraId="6D2152FA" w14:textId="77777777" w:rsidR="00753DDE" w:rsidRPr="006328FB" w:rsidRDefault="00753DDE" w:rsidP="00A7357C">
            <w:pPr>
              <w:shd w:val="clear" w:color="auto" w:fill="FFFFFF" w:themeFill="background1"/>
              <w:jc w:val="both"/>
              <w:rPr>
                <w:sz w:val="20"/>
                <w:highlight w:val="lightGray"/>
              </w:rPr>
            </w:pPr>
            <w:r w:rsidRPr="006328FB">
              <w:rPr>
                <w:sz w:val="20"/>
                <w:highlight w:val="lightGray"/>
              </w:rPr>
              <w:t xml:space="preserve">Cycle </w:t>
            </w:r>
          </w:p>
        </w:tc>
        <w:tc>
          <w:tcPr>
            <w:tcW w:w="710" w:type="pct"/>
            <w:tcBorders>
              <w:top w:val="double" w:sz="6" w:space="0" w:color="000000"/>
              <w:left w:val="single" w:sz="6" w:space="0" w:color="000000"/>
              <w:bottom w:val="double" w:sz="6" w:space="0" w:color="000000"/>
              <w:right w:val="single" w:sz="6" w:space="0" w:color="000000"/>
            </w:tcBorders>
            <w:shd w:val="clear" w:color="auto" w:fill="CCFFCC"/>
            <w:vAlign w:val="center"/>
            <w:hideMark/>
          </w:tcPr>
          <w:p w14:paraId="32794020" w14:textId="77777777" w:rsidR="00753DDE" w:rsidRPr="006328FB" w:rsidRDefault="00753DDE" w:rsidP="00A7357C">
            <w:pPr>
              <w:shd w:val="clear" w:color="auto" w:fill="FFFFFF" w:themeFill="background1"/>
              <w:jc w:val="both"/>
              <w:rPr>
                <w:sz w:val="20"/>
                <w:highlight w:val="lightGray"/>
              </w:rPr>
            </w:pPr>
            <w:r w:rsidRPr="006328FB">
              <w:rPr>
                <w:sz w:val="20"/>
                <w:highlight w:val="lightGray"/>
              </w:rPr>
              <w:t>NON</w:t>
            </w:r>
          </w:p>
        </w:tc>
        <w:tc>
          <w:tcPr>
            <w:tcW w:w="710" w:type="pct"/>
            <w:tcBorders>
              <w:top w:val="double" w:sz="6" w:space="0" w:color="000000"/>
              <w:left w:val="single" w:sz="6" w:space="0" w:color="000000"/>
              <w:bottom w:val="double" w:sz="6" w:space="0" w:color="000000"/>
              <w:right w:val="single" w:sz="6" w:space="0" w:color="000000"/>
            </w:tcBorders>
            <w:shd w:val="clear" w:color="auto" w:fill="CCFFCC"/>
            <w:vAlign w:val="center"/>
            <w:hideMark/>
          </w:tcPr>
          <w:p w14:paraId="709DD67A" w14:textId="77777777" w:rsidR="00753DDE" w:rsidRPr="006328FB" w:rsidRDefault="00753DDE" w:rsidP="00A7357C">
            <w:pPr>
              <w:shd w:val="clear" w:color="auto" w:fill="FFFFFF" w:themeFill="background1"/>
              <w:jc w:val="both"/>
              <w:rPr>
                <w:sz w:val="20"/>
                <w:highlight w:val="lightGray"/>
              </w:rPr>
            </w:pPr>
            <w:r w:rsidRPr="006328FB">
              <w:rPr>
                <w:sz w:val="20"/>
                <w:highlight w:val="lightGray"/>
              </w:rPr>
              <w:t>OUI</w:t>
            </w:r>
          </w:p>
        </w:tc>
        <w:tc>
          <w:tcPr>
            <w:tcW w:w="710" w:type="pct"/>
            <w:tcBorders>
              <w:top w:val="double" w:sz="6" w:space="0" w:color="000000"/>
              <w:left w:val="single" w:sz="6" w:space="0" w:color="000000"/>
              <w:bottom w:val="double" w:sz="6" w:space="0" w:color="000000"/>
              <w:right w:val="single" w:sz="6" w:space="0" w:color="000000"/>
            </w:tcBorders>
            <w:shd w:val="clear" w:color="auto" w:fill="FFFF99"/>
            <w:vAlign w:val="center"/>
            <w:hideMark/>
          </w:tcPr>
          <w:p w14:paraId="7239F1C4" w14:textId="77777777" w:rsidR="00753DDE" w:rsidRPr="006328FB" w:rsidRDefault="005A46F2" w:rsidP="00A7357C">
            <w:pPr>
              <w:shd w:val="clear" w:color="auto" w:fill="FFFFFF" w:themeFill="background1"/>
              <w:jc w:val="both"/>
              <w:rPr>
                <w:sz w:val="20"/>
                <w:highlight w:val="lightGray"/>
              </w:rPr>
            </w:pPr>
            <w:r w:rsidRPr="006328FB">
              <w:rPr>
                <w:sz w:val="20"/>
                <w:highlight w:val="lightGray"/>
              </w:rPr>
              <w:t>FORT</w:t>
            </w:r>
          </w:p>
        </w:tc>
        <w:tc>
          <w:tcPr>
            <w:tcW w:w="710" w:type="pct"/>
            <w:tcBorders>
              <w:top w:val="double" w:sz="6" w:space="0" w:color="000000"/>
              <w:left w:val="single" w:sz="6" w:space="0" w:color="000000"/>
              <w:bottom w:val="double" w:sz="6" w:space="0" w:color="000000"/>
              <w:right w:val="single" w:sz="24" w:space="0" w:color="000000"/>
            </w:tcBorders>
            <w:shd w:val="clear" w:color="auto" w:fill="FFFF99"/>
            <w:vAlign w:val="center"/>
            <w:hideMark/>
          </w:tcPr>
          <w:p w14:paraId="33FCD853" w14:textId="77777777" w:rsidR="00753DDE" w:rsidRPr="006328FB" w:rsidRDefault="005A46F2" w:rsidP="00A7357C">
            <w:pPr>
              <w:shd w:val="clear" w:color="auto" w:fill="FFFFFF" w:themeFill="background1"/>
              <w:jc w:val="both"/>
              <w:rPr>
                <w:sz w:val="20"/>
                <w:highlight w:val="lightGray"/>
              </w:rPr>
            </w:pPr>
            <w:r w:rsidRPr="006328FB">
              <w:rPr>
                <w:sz w:val="20"/>
                <w:highlight w:val="lightGray"/>
              </w:rPr>
              <w:t>MOYEN</w:t>
            </w:r>
          </w:p>
        </w:tc>
        <w:tc>
          <w:tcPr>
            <w:tcW w:w="711" w:type="pct"/>
            <w:tcBorders>
              <w:top w:val="double" w:sz="6" w:space="0" w:color="000000"/>
              <w:left w:val="single" w:sz="24" w:space="0" w:color="000000"/>
              <w:bottom w:val="double" w:sz="6" w:space="0" w:color="000000"/>
              <w:right w:val="single" w:sz="24" w:space="0" w:color="000000"/>
            </w:tcBorders>
            <w:shd w:val="clear" w:color="auto" w:fill="FFFF99"/>
            <w:vAlign w:val="center"/>
            <w:hideMark/>
          </w:tcPr>
          <w:p w14:paraId="0603C631" w14:textId="77777777" w:rsidR="00753DDE" w:rsidRPr="006328FB" w:rsidRDefault="00753DDE" w:rsidP="00A7357C">
            <w:pPr>
              <w:shd w:val="clear" w:color="auto" w:fill="FFFFFF" w:themeFill="background1"/>
              <w:jc w:val="both"/>
              <w:rPr>
                <w:sz w:val="20"/>
                <w:highlight w:val="lightGray"/>
              </w:rPr>
            </w:pPr>
            <w:r w:rsidRPr="006328FB">
              <w:rPr>
                <w:sz w:val="20"/>
                <w:highlight w:val="lightGray"/>
              </w:rPr>
              <w:t>MOYEN</w:t>
            </w:r>
          </w:p>
        </w:tc>
        <w:tc>
          <w:tcPr>
            <w:tcW w:w="718" w:type="pct"/>
            <w:tcBorders>
              <w:top w:val="double" w:sz="6" w:space="0" w:color="000000"/>
              <w:left w:val="single" w:sz="24" w:space="0" w:color="000000"/>
              <w:bottom w:val="double" w:sz="6" w:space="0" w:color="000000"/>
              <w:right w:val="double" w:sz="6" w:space="0" w:color="000000"/>
            </w:tcBorders>
            <w:hideMark/>
          </w:tcPr>
          <w:p w14:paraId="59D6F7B4" w14:textId="77777777" w:rsidR="00753DDE" w:rsidRPr="006328FB" w:rsidRDefault="00753DDE" w:rsidP="00A7357C">
            <w:pPr>
              <w:shd w:val="clear" w:color="auto" w:fill="FFFFFF" w:themeFill="background1"/>
              <w:jc w:val="both"/>
              <w:rPr>
                <w:sz w:val="20"/>
                <w:highlight w:val="lightGray"/>
              </w:rPr>
            </w:pPr>
          </w:p>
        </w:tc>
      </w:tr>
      <w:bookmarkEnd w:id="3"/>
    </w:tbl>
    <w:p w14:paraId="68DA00EA" w14:textId="77777777" w:rsidR="00753DDE" w:rsidRPr="00C217D3" w:rsidRDefault="00753DDE" w:rsidP="001B4280">
      <w:pPr>
        <w:pStyle w:val="AuditnconclusionTitreattribut"/>
        <w:jc w:val="both"/>
        <w:rPr>
          <w:rFonts w:ascii="Calibri" w:hAnsi="Calibri"/>
          <w:b w:val="0"/>
          <w:sz w:val="22"/>
          <w:lang w:val="en-US"/>
        </w:rPr>
      </w:pPr>
    </w:p>
    <w:p w14:paraId="0E61FDBB" w14:textId="77777777" w:rsidR="00753DDE" w:rsidRPr="00C217D3" w:rsidRDefault="00753DDE" w:rsidP="001B4280">
      <w:pPr>
        <w:pStyle w:val="AuditnconclusionTitreattribut"/>
        <w:numPr>
          <w:ilvl w:val="1"/>
          <w:numId w:val="2"/>
        </w:numPr>
        <w:jc w:val="both"/>
        <w:rPr>
          <w:rFonts w:ascii="Calibri" w:hAnsi="Calibri"/>
        </w:rPr>
      </w:pPr>
      <w:r w:rsidRPr="00C217D3">
        <w:rPr>
          <w:rFonts w:ascii="Calibri" w:hAnsi="Calibri"/>
        </w:rPr>
        <w:t>Conclusions sur les points issus de l’approche par les risques</w:t>
      </w:r>
    </w:p>
    <w:p w14:paraId="6D4F62B3" w14:textId="58C5EF6F" w:rsidR="00753DDE" w:rsidRPr="00491EAE" w:rsidRDefault="00753DDE" w:rsidP="00491EAE">
      <w:pPr>
        <w:pStyle w:val="AuditnconclusionTitreattribut"/>
        <w:ind w:left="360"/>
        <w:jc w:val="both"/>
        <w:rPr>
          <w:rFonts w:ascii="Calibri" w:hAnsi="Calibri"/>
          <w:b w:val="0"/>
          <w:i/>
          <w:sz w:val="20"/>
        </w:rPr>
      </w:pPr>
      <w:r w:rsidRPr="00C217D3">
        <w:rPr>
          <w:rFonts w:ascii="Calibri" w:hAnsi="Calibri"/>
          <w:b w:val="0"/>
          <w:i/>
          <w:sz w:val="20"/>
        </w:rPr>
        <w:t>Confère les adaptations apportées au programme de travail lors de l’approche par les risques en DAG/03/2/20</w:t>
      </w:r>
      <w:r w:rsidRPr="00C217D3">
        <w:rPr>
          <w:rFonts w:ascii="Calibri" w:hAnsi="Calibri"/>
          <w:vanish/>
          <w:sz w:val="20"/>
        </w:rPr>
        <w:t>¤OK¤¤PAD:3812:OUI:0¤</w:t>
      </w:r>
    </w:p>
    <w:p w14:paraId="198A4CF0" w14:textId="77777777" w:rsidR="00753DDE" w:rsidRPr="00C217D3" w:rsidRDefault="00753DDE" w:rsidP="001B4280">
      <w:pPr>
        <w:pStyle w:val="AuditnconclusionTitreattribut"/>
        <w:numPr>
          <w:ilvl w:val="1"/>
          <w:numId w:val="2"/>
        </w:numPr>
        <w:jc w:val="both"/>
        <w:rPr>
          <w:rFonts w:ascii="Calibri" w:hAnsi="Calibri"/>
        </w:rPr>
      </w:pPr>
      <w:r w:rsidRPr="00C217D3">
        <w:rPr>
          <w:rFonts w:ascii="Calibri" w:hAnsi="Calibri"/>
        </w:rPr>
        <w:lastRenderedPageBreak/>
        <w:t>Orientations complémentaires post intérim</w:t>
      </w:r>
    </w:p>
    <w:p w14:paraId="69B659D8" w14:textId="77777777" w:rsidR="00753DDE" w:rsidRPr="00C217D3" w:rsidRDefault="00753DDE" w:rsidP="001B4280">
      <w:pPr>
        <w:pStyle w:val="Auditnormal"/>
        <w:rPr>
          <w:rFonts w:ascii="Calibri" w:hAnsi="Calibri"/>
          <w:sz w:val="20"/>
        </w:rPr>
      </w:pPr>
      <w:r w:rsidRPr="00C217D3">
        <w:rPr>
          <w:rFonts w:ascii="Calibri" w:hAnsi="Calibri"/>
          <w:sz w:val="20"/>
        </w:rPr>
        <w:t>Voir Planif.</w:t>
      </w:r>
      <w:r w:rsidRPr="00C217D3">
        <w:rPr>
          <w:rFonts w:ascii="Calibri" w:hAnsi="Calibri"/>
          <w:vanish/>
          <w:sz w:val="20"/>
        </w:rPr>
        <w:t>¤PAF::0¤</w:t>
      </w:r>
    </w:p>
    <w:p w14:paraId="13A19853" w14:textId="77777777" w:rsidR="00753DDE" w:rsidRPr="00C217D3" w:rsidRDefault="00753DDE" w:rsidP="001B4280">
      <w:pPr>
        <w:pStyle w:val="Auditnormal"/>
        <w:rPr>
          <w:rFonts w:ascii="Calibri" w:hAnsi="Calibri"/>
        </w:rPr>
      </w:pPr>
    </w:p>
    <w:p w14:paraId="505FA0D4" w14:textId="7902019D" w:rsidR="00753DDE" w:rsidRPr="00491EAE" w:rsidRDefault="00753DDE" w:rsidP="00491EAE">
      <w:pPr>
        <w:pStyle w:val="AuditnconclusionChapitre"/>
        <w:jc w:val="both"/>
      </w:pPr>
      <w:r w:rsidRPr="00C217D3">
        <w:t>FAITS MARQUANTS ET REVUE ANALYTIQUE</w:t>
      </w:r>
    </w:p>
    <w:p w14:paraId="7FA9C3F2" w14:textId="77777777" w:rsidR="00753DDE" w:rsidRPr="00C217D3" w:rsidRDefault="00753DDE" w:rsidP="001B4280">
      <w:pPr>
        <w:pStyle w:val="AuditnconclusionTitreattribut"/>
        <w:jc w:val="both"/>
        <w:rPr>
          <w:rFonts w:ascii="Calibri" w:hAnsi="Calibri"/>
          <w:b w:val="0"/>
          <w:color w:val="auto"/>
          <w:sz w:val="20"/>
        </w:rPr>
      </w:pPr>
      <w:r w:rsidRPr="00C217D3">
        <w:rPr>
          <w:rFonts w:ascii="Calibri" w:hAnsi="Calibri"/>
          <w:color w:val="auto"/>
          <w:sz w:val="22"/>
        </w:rPr>
        <w:t>2.1</w:t>
      </w:r>
      <w:r w:rsidRPr="00C217D3">
        <w:rPr>
          <w:rFonts w:ascii="Calibri" w:hAnsi="Calibri"/>
          <w:color w:val="auto"/>
          <w:sz w:val="22"/>
        </w:rPr>
        <w:tab/>
      </w:r>
      <w:r w:rsidRPr="00C217D3">
        <w:rPr>
          <w:rFonts w:ascii="Calibri" w:hAnsi="Calibri"/>
          <w:color w:val="auto"/>
        </w:rPr>
        <w:t>Changements de méthodes</w:t>
      </w:r>
    </w:p>
    <w:p w14:paraId="5B1C3689" w14:textId="7D45F652" w:rsidR="00753DDE" w:rsidRPr="00491EAE" w:rsidRDefault="00753DDE" w:rsidP="001B4280">
      <w:pPr>
        <w:pStyle w:val="AuditnconclusionChapitre"/>
        <w:numPr>
          <w:ilvl w:val="0"/>
          <w:numId w:val="0"/>
        </w:numPr>
        <w:tabs>
          <w:tab w:val="left" w:pos="708"/>
        </w:tabs>
        <w:spacing w:before="0" w:after="0"/>
        <w:jc w:val="both"/>
        <w:rPr>
          <w:rFonts w:ascii="Calibri" w:hAnsi="Calibri"/>
          <w:b w:val="0"/>
          <w:color w:val="auto"/>
          <w:sz w:val="22"/>
        </w:rPr>
      </w:pPr>
      <w:r w:rsidRPr="00C217D3">
        <w:rPr>
          <w:rFonts w:ascii="Calibri" w:hAnsi="Calibri"/>
          <w:b w:val="0"/>
          <w:color w:val="auto"/>
          <w:sz w:val="22"/>
        </w:rPr>
        <w:t>Néant.</w:t>
      </w:r>
      <w:r w:rsidRPr="00173AE6">
        <w:rPr>
          <w:rFonts w:ascii="Calibri" w:hAnsi="Calibri"/>
          <w:b w:val="0"/>
          <w:color w:val="auto"/>
          <w:sz w:val="22"/>
        </w:rPr>
        <w:t xml:space="preserve"> </w:t>
      </w:r>
    </w:p>
    <w:p w14:paraId="64651B68" w14:textId="77777777" w:rsidR="00753DDE" w:rsidRPr="00173AE6" w:rsidRDefault="00753DDE" w:rsidP="001B4280">
      <w:pPr>
        <w:pStyle w:val="AuditnconclusionTitreattribut"/>
        <w:numPr>
          <w:ilvl w:val="1"/>
          <w:numId w:val="7"/>
        </w:numPr>
        <w:jc w:val="both"/>
        <w:rPr>
          <w:rFonts w:ascii="Calibri" w:hAnsi="Calibri"/>
        </w:rPr>
      </w:pPr>
      <w:r w:rsidRPr="00173AE6">
        <w:rPr>
          <w:rFonts w:ascii="Calibri" w:hAnsi="Calibri"/>
          <w:sz w:val="22"/>
        </w:rPr>
        <w:t xml:space="preserve"> </w:t>
      </w:r>
      <w:r w:rsidRPr="00173AE6">
        <w:rPr>
          <w:rFonts w:ascii="Calibri" w:hAnsi="Calibri"/>
        </w:rPr>
        <w:t>Autres faits marquants et principales évolutions de l’exercice</w:t>
      </w:r>
    </w:p>
    <w:p w14:paraId="4B46DFCB" w14:textId="356EA67A" w:rsidR="00173AE6" w:rsidRPr="00491EAE" w:rsidRDefault="005948C8" w:rsidP="00491EAE">
      <w:pPr>
        <w:pStyle w:val="AuditnconclusionChapitre"/>
        <w:numPr>
          <w:ilvl w:val="0"/>
          <w:numId w:val="3"/>
        </w:numPr>
        <w:tabs>
          <w:tab w:val="left" w:pos="708"/>
        </w:tabs>
        <w:spacing w:before="0" w:after="0"/>
        <w:jc w:val="both"/>
        <w:rPr>
          <w:noProof/>
          <w:sz w:val="24"/>
        </w:rPr>
      </w:pPr>
      <w:r w:rsidRPr="00173AE6">
        <w:rPr>
          <w:noProof/>
          <w:sz w:val="24"/>
        </w:rPr>
        <w:t xml:space="preserve">Bilan et </w:t>
      </w:r>
      <w:r w:rsidR="00753DDE" w:rsidRPr="00173AE6">
        <w:rPr>
          <w:noProof/>
          <w:sz w:val="24"/>
        </w:rPr>
        <w:t xml:space="preserve">Compte de résultat : </w:t>
      </w:r>
    </w:p>
    <w:p w14:paraId="790454DF" w14:textId="4E7CDB90" w:rsidR="00173AE6" w:rsidRDefault="00173AE6" w:rsidP="00173AE6">
      <w:pPr>
        <w:pStyle w:val="AuditnconclusionChapitre"/>
        <w:numPr>
          <w:ilvl w:val="0"/>
          <w:numId w:val="0"/>
        </w:numPr>
        <w:tabs>
          <w:tab w:val="left" w:pos="708"/>
        </w:tabs>
        <w:spacing w:before="0" w:after="0"/>
        <w:ind w:left="360" w:hanging="360"/>
        <w:jc w:val="both"/>
        <w:rPr>
          <w:noProof/>
          <w:sz w:val="24"/>
          <w:highlight w:val="yellow"/>
        </w:rPr>
      </w:pPr>
      <w:r w:rsidRPr="00173AE6">
        <w:rPr>
          <w:noProof/>
        </w:rPr>
        <w:drawing>
          <wp:inline distT="0" distB="0" distL="0" distR="0" wp14:anchorId="604E59A1" wp14:editId="3A46F048">
            <wp:extent cx="5505140" cy="4953000"/>
            <wp:effectExtent l="0" t="0" r="63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7">
                      <a:extLst>
                        <a:ext uri="{28A0092B-C50C-407E-A947-70E740481C1C}">
                          <a14:useLocalDpi xmlns:a14="http://schemas.microsoft.com/office/drawing/2010/main" val="0"/>
                        </a:ext>
                      </a:extLst>
                    </a:blip>
                    <a:srcRect b="36939"/>
                    <a:stretch/>
                  </pic:blipFill>
                  <pic:spPr bwMode="auto">
                    <a:xfrm>
                      <a:off x="0" y="0"/>
                      <a:ext cx="5510178" cy="4957533"/>
                    </a:xfrm>
                    <a:prstGeom prst="rect">
                      <a:avLst/>
                    </a:prstGeom>
                    <a:noFill/>
                    <a:ln>
                      <a:noFill/>
                    </a:ln>
                    <a:extLst>
                      <a:ext uri="{53640926-AAD7-44D8-BBD7-CCE9431645EC}">
                        <a14:shadowObscured xmlns:a14="http://schemas.microsoft.com/office/drawing/2010/main"/>
                      </a:ext>
                    </a:extLst>
                  </pic:spPr>
                </pic:pic>
              </a:graphicData>
            </a:graphic>
          </wp:inline>
        </w:drawing>
      </w:r>
    </w:p>
    <w:p w14:paraId="27000240" w14:textId="46630A0C" w:rsidR="00491EAE" w:rsidRDefault="00491EAE" w:rsidP="00173AE6">
      <w:pPr>
        <w:pStyle w:val="AuditnconclusionChapitre"/>
        <w:numPr>
          <w:ilvl w:val="0"/>
          <w:numId w:val="0"/>
        </w:numPr>
        <w:tabs>
          <w:tab w:val="left" w:pos="708"/>
        </w:tabs>
        <w:spacing w:before="0" w:after="0"/>
        <w:ind w:left="360" w:hanging="360"/>
        <w:jc w:val="both"/>
        <w:rPr>
          <w:noProof/>
          <w:sz w:val="24"/>
          <w:highlight w:val="yellow"/>
        </w:rPr>
      </w:pPr>
    </w:p>
    <w:p w14:paraId="2A2A3C69" w14:textId="577F38B7" w:rsidR="00491EAE" w:rsidRDefault="00491EAE" w:rsidP="00173AE6">
      <w:pPr>
        <w:pStyle w:val="AuditnconclusionChapitre"/>
        <w:numPr>
          <w:ilvl w:val="0"/>
          <w:numId w:val="0"/>
        </w:numPr>
        <w:tabs>
          <w:tab w:val="left" w:pos="708"/>
        </w:tabs>
        <w:spacing w:before="0" w:after="0"/>
        <w:ind w:left="360" w:hanging="360"/>
        <w:jc w:val="both"/>
        <w:rPr>
          <w:noProof/>
          <w:sz w:val="24"/>
          <w:highlight w:val="yellow"/>
        </w:rPr>
      </w:pPr>
    </w:p>
    <w:p w14:paraId="16F4A841" w14:textId="42E77E42" w:rsidR="00491EAE" w:rsidRDefault="00491EAE" w:rsidP="00173AE6">
      <w:pPr>
        <w:pStyle w:val="AuditnconclusionChapitre"/>
        <w:numPr>
          <w:ilvl w:val="0"/>
          <w:numId w:val="0"/>
        </w:numPr>
        <w:tabs>
          <w:tab w:val="left" w:pos="708"/>
        </w:tabs>
        <w:spacing w:before="0" w:after="0"/>
        <w:ind w:left="360" w:hanging="360"/>
        <w:jc w:val="both"/>
        <w:rPr>
          <w:noProof/>
          <w:sz w:val="24"/>
          <w:highlight w:val="yellow"/>
        </w:rPr>
      </w:pPr>
      <w:r w:rsidRPr="00173AE6">
        <w:rPr>
          <w:noProof/>
        </w:rPr>
        <w:lastRenderedPageBreak/>
        <w:drawing>
          <wp:inline distT="0" distB="0" distL="0" distR="0" wp14:anchorId="45E3901B" wp14:editId="68EC06EB">
            <wp:extent cx="5504815" cy="182880"/>
            <wp:effectExtent l="0" t="0" r="635" b="762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7">
                      <a:extLst>
                        <a:ext uri="{28A0092B-C50C-407E-A947-70E740481C1C}">
                          <a14:useLocalDpi xmlns:a14="http://schemas.microsoft.com/office/drawing/2010/main" val="0"/>
                        </a:ext>
                      </a:extLst>
                    </a:blip>
                    <a:srcRect b="97672"/>
                    <a:stretch/>
                  </pic:blipFill>
                  <pic:spPr bwMode="auto">
                    <a:xfrm>
                      <a:off x="0" y="0"/>
                      <a:ext cx="5510178" cy="183058"/>
                    </a:xfrm>
                    <a:prstGeom prst="rect">
                      <a:avLst/>
                    </a:prstGeom>
                    <a:noFill/>
                    <a:ln>
                      <a:noFill/>
                    </a:ln>
                    <a:extLst>
                      <a:ext uri="{53640926-AAD7-44D8-BBD7-CCE9431645EC}">
                        <a14:shadowObscured xmlns:a14="http://schemas.microsoft.com/office/drawing/2010/main"/>
                      </a:ext>
                    </a:extLst>
                  </pic:spPr>
                </pic:pic>
              </a:graphicData>
            </a:graphic>
          </wp:inline>
        </w:drawing>
      </w:r>
    </w:p>
    <w:p w14:paraId="2EABDCC6" w14:textId="12416FD3" w:rsidR="00491EAE" w:rsidRPr="003B1D37" w:rsidRDefault="00491EAE" w:rsidP="00173AE6">
      <w:pPr>
        <w:pStyle w:val="AuditnconclusionChapitre"/>
        <w:numPr>
          <w:ilvl w:val="0"/>
          <w:numId w:val="0"/>
        </w:numPr>
        <w:tabs>
          <w:tab w:val="left" w:pos="708"/>
        </w:tabs>
        <w:spacing w:before="0" w:after="0"/>
        <w:ind w:left="360" w:hanging="360"/>
        <w:jc w:val="both"/>
        <w:rPr>
          <w:noProof/>
          <w:sz w:val="24"/>
          <w:highlight w:val="yellow"/>
        </w:rPr>
      </w:pPr>
      <w:r w:rsidRPr="00173AE6">
        <w:rPr>
          <w:noProof/>
        </w:rPr>
        <w:drawing>
          <wp:inline distT="0" distB="0" distL="0" distR="0" wp14:anchorId="736BA799" wp14:editId="3E8068B7">
            <wp:extent cx="5504815" cy="2878167"/>
            <wp:effectExtent l="0" t="0" r="63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7">
                      <a:extLst>
                        <a:ext uri="{28A0092B-C50C-407E-A947-70E740481C1C}">
                          <a14:useLocalDpi xmlns:a14="http://schemas.microsoft.com/office/drawing/2010/main" val="0"/>
                        </a:ext>
                      </a:extLst>
                    </a:blip>
                    <a:srcRect t="63354"/>
                    <a:stretch/>
                  </pic:blipFill>
                  <pic:spPr bwMode="auto">
                    <a:xfrm>
                      <a:off x="0" y="0"/>
                      <a:ext cx="5510178" cy="2880971"/>
                    </a:xfrm>
                    <a:prstGeom prst="rect">
                      <a:avLst/>
                    </a:prstGeom>
                    <a:noFill/>
                    <a:ln>
                      <a:noFill/>
                    </a:ln>
                    <a:extLst>
                      <a:ext uri="{53640926-AAD7-44D8-BBD7-CCE9431645EC}">
                        <a14:shadowObscured xmlns:a14="http://schemas.microsoft.com/office/drawing/2010/main"/>
                      </a:ext>
                    </a:extLst>
                  </pic:spPr>
                </pic:pic>
              </a:graphicData>
            </a:graphic>
          </wp:inline>
        </w:drawing>
      </w:r>
    </w:p>
    <w:p w14:paraId="2F5EB775" w14:textId="77777777" w:rsidR="00660E00" w:rsidRPr="001E656A" w:rsidRDefault="00660E00" w:rsidP="00660E00"/>
    <w:p w14:paraId="30FA42F7" w14:textId="77777777" w:rsidR="0070515E" w:rsidRPr="00E67D5E" w:rsidRDefault="0070515E" w:rsidP="0070515E">
      <w:pPr>
        <w:jc w:val="both"/>
        <w:rPr>
          <w:rFonts w:ascii="Calibri" w:hAnsi="Calibri" w:cs="Calibri"/>
        </w:rPr>
      </w:pPr>
      <w:r w:rsidRPr="00E67D5E">
        <w:rPr>
          <w:rFonts w:ascii="Calibri" w:hAnsi="Calibri" w:cs="Calibri"/>
        </w:rPr>
        <w:t xml:space="preserve">L'activité de la société étant liée à la sortie des Films, le comparatif des agrégats [CA, ratio rotation en jours] ne sont pas tout à fait pertinent. </w:t>
      </w:r>
    </w:p>
    <w:p w14:paraId="0BE7C404" w14:textId="77777777" w:rsidR="0070515E" w:rsidRPr="00E67D5E" w:rsidRDefault="00E67D5E" w:rsidP="0070515E">
      <w:pPr>
        <w:jc w:val="both"/>
        <w:rPr>
          <w:rFonts w:ascii="Calibri" w:hAnsi="Calibri" w:cs="Calibri"/>
        </w:rPr>
      </w:pPr>
      <w:r w:rsidRPr="00E67D5E">
        <w:rPr>
          <w:rFonts w:ascii="Calibri" w:hAnsi="Calibri" w:cs="Calibri"/>
        </w:rPr>
        <w:t>L'année 2024</w:t>
      </w:r>
      <w:r w:rsidR="0070515E" w:rsidRPr="00E67D5E">
        <w:rPr>
          <w:rFonts w:ascii="Calibri" w:hAnsi="Calibri" w:cs="Calibri"/>
        </w:rPr>
        <w:t xml:space="preserve"> a été marquée par la production des œuvres suivantes [Visa obtenu sur l'</w:t>
      </w:r>
      <w:r w:rsidR="005433C0" w:rsidRPr="00E67D5E">
        <w:rPr>
          <w:rFonts w:ascii="Calibri" w:hAnsi="Calibri" w:cs="Calibri"/>
        </w:rPr>
        <w:t>exercice</w:t>
      </w:r>
      <w:r>
        <w:rPr>
          <w:rFonts w:ascii="Calibri" w:hAnsi="Calibri" w:cs="Calibri"/>
        </w:rPr>
        <w:t>]</w:t>
      </w:r>
      <w:r w:rsidR="0070515E" w:rsidRPr="00E67D5E">
        <w:rPr>
          <w:rFonts w:ascii="Calibri" w:hAnsi="Calibri" w:cs="Calibri"/>
        </w:rPr>
        <w:t xml:space="preserve"> :</w:t>
      </w:r>
    </w:p>
    <w:p w14:paraId="55578F77" w14:textId="276E637F" w:rsidR="00E67D5E" w:rsidRDefault="00DE1D7A" w:rsidP="00811990">
      <w:pPr>
        <w:pStyle w:val="Paragraphedeliste"/>
        <w:numPr>
          <w:ilvl w:val="0"/>
          <w:numId w:val="12"/>
        </w:numPr>
        <w:jc w:val="both"/>
        <w:rPr>
          <w:rFonts w:ascii="Calibri" w:hAnsi="Calibri" w:cs="Calibri"/>
        </w:rPr>
      </w:pPr>
      <w:r w:rsidRPr="007D2138">
        <w:rPr>
          <w:rFonts w:ascii="Calibri" w:hAnsi="Calibri" w:cs="Calibri"/>
          <w:b/>
          <w:i/>
        </w:rPr>
        <w:t>Ni chaînes ni M</w:t>
      </w:r>
      <w:r w:rsidR="00E67D5E" w:rsidRPr="007D2138">
        <w:rPr>
          <w:rFonts w:ascii="Calibri" w:hAnsi="Calibri" w:cs="Calibri"/>
          <w:b/>
          <w:i/>
        </w:rPr>
        <w:t>aîtres</w:t>
      </w:r>
      <w:r w:rsidR="00E67D5E" w:rsidRPr="00E67D5E">
        <w:rPr>
          <w:rFonts w:ascii="Calibri" w:hAnsi="Calibri" w:cs="Calibri"/>
        </w:rPr>
        <w:t xml:space="preserve">, le film </w:t>
      </w:r>
      <w:r w:rsidR="00811990" w:rsidRPr="00811990">
        <w:rPr>
          <w:rFonts w:ascii="Calibri" w:hAnsi="Calibri" w:cs="Calibri"/>
        </w:rPr>
        <w:t xml:space="preserve">de Simon Moutaïrou </w:t>
      </w:r>
      <w:r w:rsidR="00E67D5E" w:rsidRPr="00E67D5E">
        <w:rPr>
          <w:rFonts w:ascii="Calibri" w:hAnsi="Calibri" w:cs="Calibri"/>
        </w:rPr>
        <w:t>est sorti le 18 septembre 2024</w:t>
      </w:r>
      <w:r w:rsidR="00811990">
        <w:rPr>
          <w:rFonts w:ascii="Calibri" w:hAnsi="Calibri" w:cs="Calibri"/>
        </w:rPr>
        <w:t xml:space="preserve"> (France)</w:t>
      </w:r>
      <w:r w:rsidR="00E67D5E" w:rsidRPr="00E67D5E">
        <w:rPr>
          <w:rFonts w:ascii="Calibri" w:hAnsi="Calibri" w:cs="Calibri"/>
        </w:rPr>
        <w:t>, les recettes</w:t>
      </w:r>
      <w:r w:rsidR="00811990">
        <w:rPr>
          <w:rFonts w:ascii="Calibri" w:hAnsi="Calibri" w:cs="Calibri"/>
        </w:rPr>
        <w:t xml:space="preserve"> </w:t>
      </w:r>
      <w:r w:rsidR="00733A74">
        <w:rPr>
          <w:rFonts w:ascii="Calibri" w:hAnsi="Calibri" w:cs="Calibri"/>
        </w:rPr>
        <w:t xml:space="preserve">globales </w:t>
      </w:r>
      <w:r w:rsidR="00811990">
        <w:rPr>
          <w:rFonts w:ascii="Calibri" w:hAnsi="Calibri" w:cs="Calibri"/>
        </w:rPr>
        <w:t xml:space="preserve">du film </w:t>
      </w:r>
      <w:r w:rsidR="00733A74">
        <w:rPr>
          <w:rFonts w:ascii="Calibri" w:hAnsi="Calibri" w:cs="Calibri"/>
        </w:rPr>
        <w:t xml:space="preserve">(dont rémunérations producteurs et refacturations) </w:t>
      </w:r>
      <w:r w:rsidR="00811990">
        <w:rPr>
          <w:rFonts w:ascii="Calibri" w:hAnsi="Calibri" w:cs="Calibri"/>
        </w:rPr>
        <w:t>se sont élevées à 4 165</w:t>
      </w:r>
      <w:r w:rsidR="00E67D5E" w:rsidRPr="00E67D5E">
        <w:rPr>
          <w:rFonts w:ascii="Calibri" w:hAnsi="Calibri" w:cs="Calibri"/>
        </w:rPr>
        <w:t xml:space="preserve"> k€</w:t>
      </w:r>
      <w:r w:rsidR="00E67D5E">
        <w:rPr>
          <w:rFonts w:ascii="Calibri" w:hAnsi="Calibri" w:cs="Calibri"/>
        </w:rPr>
        <w:t> ;</w:t>
      </w:r>
      <w:r w:rsidR="00811990">
        <w:rPr>
          <w:rFonts w:ascii="Calibri" w:hAnsi="Calibri" w:cs="Calibri"/>
        </w:rPr>
        <w:t xml:space="preserve"> </w:t>
      </w:r>
    </w:p>
    <w:p w14:paraId="5AA6BC87" w14:textId="6F30DE82" w:rsidR="00E67D5E" w:rsidRPr="00811990" w:rsidRDefault="00DE1D7A" w:rsidP="00811990">
      <w:pPr>
        <w:pStyle w:val="Paragraphedeliste"/>
        <w:numPr>
          <w:ilvl w:val="0"/>
          <w:numId w:val="12"/>
        </w:numPr>
        <w:jc w:val="both"/>
        <w:rPr>
          <w:rFonts w:ascii="Calibri" w:hAnsi="Calibri" w:cs="Calibri"/>
        </w:rPr>
      </w:pPr>
      <w:r w:rsidRPr="007D2138">
        <w:rPr>
          <w:rFonts w:ascii="Calibri" w:hAnsi="Calibri" w:cs="Calibri"/>
          <w:b/>
          <w:i/>
        </w:rPr>
        <w:t>Leurs enfants Après E</w:t>
      </w:r>
      <w:r w:rsidR="00E67D5E" w:rsidRPr="007D2138">
        <w:rPr>
          <w:rFonts w:ascii="Calibri" w:hAnsi="Calibri" w:cs="Calibri"/>
          <w:b/>
          <w:i/>
        </w:rPr>
        <w:t>ux</w:t>
      </w:r>
      <w:r w:rsidR="00E67D5E">
        <w:rPr>
          <w:rFonts w:ascii="Calibri" w:hAnsi="Calibri" w:cs="Calibri"/>
        </w:rPr>
        <w:t xml:space="preserve">, le film </w:t>
      </w:r>
      <w:r w:rsidR="00811990" w:rsidRPr="00811990">
        <w:rPr>
          <w:rFonts w:ascii="Calibri" w:hAnsi="Calibri" w:cs="Calibri"/>
        </w:rPr>
        <w:t xml:space="preserve">de Ludovic Boukherma et Zoran Boukherma de 2 h 26 min sorti </w:t>
      </w:r>
      <w:r w:rsidR="00E67D5E">
        <w:rPr>
          <w:rFonts w:ascii="Calibri" w:hAnsi="Calibri" w:cs="Calibri"/>
        </w:rPr>
        <w:t xml:space="preserve">le 4 décembre 2024. Les recettes </w:t>
      </w:r>
      <w:r w:rsidR="00733A74">
        <w:rPr>
          <w:rFonts w:ascii="Calibri" w:hAnsi="Calibri" w:cs="Calibri"/>
        </w:rPr>
        <w:t xml:space="preserve">globales du film (dont rémunérations producteurs et refacturations) </w:t>
      </w:r>
      <w:r w:rsidR="00E67D5E">
        <w:rPr>
          <w:rFonts w:ascii="Calibri" w:hAnsi="Calibri" w:cs="Calibri"/>
        </w:rPr>
        <w:t xml:space="preserve">se sont élevées à </w:t>
      </w:r>
      <w:r w:rsidR="00E67D5E" w:rsidRPr="00811990">
        <w:rPr>
          <w:rFonts w:ascii="Calibri" w:hAnsi="Calibri" w:cs="Calibri"/>
        </w:rPr>
        <w:t>8 077 k€ ;</w:t>
      </w:r>
      <w:r w:rsidR="00811990" w:rsidRPr="00811990">
        <w:rPr>
          <w:rFonts w:ascii="Calibri" w:hAnsi="Calibri" w:cs="Calibri"/>
        </w:rPr>
        <w:t xml:space="preserve"> </w:t>
      </w:r>
    </w:p>
    <w:p w14:paraId="499B7796" w14:textId="1F9B4A88" w:rsidR="00E67D5E" w:rsidRDefault="00DE1D7A" w:rsidP="00811990">
      <w:pPr>
        <w:pStyle w:val="Paragraphedeliste"/>
        <w:numPr>
          <w:ilvl w:val="0"/>
          <w:numId w:val="12"/>
        </w:numPr>
        <w:jc w:val="both"/>
        <w:rPr>
          <w:rFonts w:ascii="Calibri" w:hAnsi="Calibri" w:cs="Calibri"/>
        </w:rPr>
      </w:pPr>
      <w:r w:rsidRPr="007D2138">
        <w:rPr>
          <w:rFonts w:ascii="Calibri" w:hAnsi="Calibri" w:cs="Calibri"/>
          <w:b/>
          <w:i/>
        </w:rPr>
        <w:t>Le Deuxième A</w:t>
      </w:r>
      <w:r w:rsidR="00E67D5E" w:rsidRPr="007D2138">
        <w:rPr>
          <w:rFonts w:ascii="Calibri" w:hAnsi="Calibri" w:cs="Calibri"/>
          <w:b/>
          <w:i/>
        </w:rPr>
        <w:t>cte</w:t>
      </w:r>
      <w:r w:rsidR="00E67D5E" w:rsidRPr="00DE1D7A">
        <w:rPr>
          <w:rFonts w:ascii="Calibri" w:hAnsi="Calibri" w:cs="Calibri"/>
          <w:i/>
        </w:rPr>
        <w:t>,</w:t>
      </w:r>
      <w:r w:rsidR="00E67D5E">
        <w:rPr>
          <w:rFonts w:ascii="Calibri" w:hAnsi="Calibri" w:cs="Calibri"/>
        </w:rPr>
        <w:t xml:space="preserve"> le film </w:t>
      </w:r>
      <w:r w:rsidR="00811990" w:rsidRPr="00811990">
        <w:rPr>
          <w:rFonts w:ascii="Calibri" w:hAnsi="Calibri" w:cs="Calibri"/>
        </w:rPr>
        <w:t xml:space="preserve">de Quentin Dupieux (Mr. Oizo) d'1 h 20 min </w:t>
      </w:r>
      <w:r w:rsidR="00E67D5E">
        <w:rPr>
          <w:rFonts w:ascii="Calibri" w:hAnsi="Calibri" w:cs="Calibri"/>
        </w:rPr>
        <w:t xml:space="preserve">sorti le 15 mai 2024 et les recettes </w:t>
      </w:r>
      <w:r w:rsidR="00733A74">
        <w:rPr>
          <w:rFonts w:ascii="Calibri" w:hAnsi="Calibri" w:cs="Calibri"/>
        </w:rPr>
        <w:t xml:space="preserve">globales du film (dont rémunérations producteurs et refacturations) </w:t>
      </w:r>
      <w:r w:rsidR="00E67D5E">
        <w:rPr>
          <w:rFonts w:ascii="Calibri" w:hAnsi="Calibri" w:cs="Calibri"/>
        </w:rPr>
        <w:t>se sont élevées à 4 691 k€ ;</w:t>
      </w:r>
    </w:p>
    <w:p w14:paraId="6C478896" w14:textId="1093D5E8" w:rsidR="00E67D5E" w:rsidRDefault="00DE1D7A" w:rsidP="00811990">
      <w:pPr>
        <w:pStyle w:val="Paragraphedeliste"/>
        <w:numPr>
          <w:ilvl w:val="0"/>
          <w:numId w:val="12"/>
        </w:numPr>
        <w:jc w:val="both"/>
        <w:rPr>
          <w:rFonts w:ascii="Calibri" w:hAnsi="Calibri" w:cs="Calibri"/>
        </w:rPr>
      </w:pPr>
      <w:r w:rsidRPr="007D2138">
        <w:rPr>
          <w:rFonts w:ascii="Calibri" w:hAnsi="Calibri" w:cs="Calibri"/>
          <w:b/>
          <w:i/>
        </w:rPr>
        <w:t>L’Amour O</w:t>
      </w:r>
      <w:r w:rsidR="00E67D5E" w:rsidRPr="007D2138">
        <w:rPr>
          <w:rFonts w:ascii="Calibri" w:hAnsi="Calibri" w:cs="Calibri"/>
          <w:b/>
          <w:i/>
        </w:rPr>
        <w:t>uf</w:t>
      </w:r>
      <w:r w:rsidR="00E67D5E">
        <w:rPr>
          <w:rFonts w:ascii="Calibri" w:hAnsi="Calibri" w:cs="Calibri"/>
        </w:rPr>
        <w:t xml:space="preserve">, le film </w:t>
      </w:r>
      <w:r w:rsidR="00811990" w:rsidRPr="00811990">
        <w:rPr>
          <w:rFonts w:ascii="Calibri" w:hAnsi="Calibri" w:cs="Calibri"/>
        </w:rPr>
        <w:t xml:space="preserve">de Gilles Lellouche de 2 h 41 min </w:t>
      </w:r>
      <w:r w:rsidR="00E67D5E">
        <w:rPr>
          <w:rFonts w:ascii="Calibri" w:hAnsi="Calibri" w:cs="Calibri"/>
        </w:rPr>
        <w:t>est sorti le 16 octobre 2024. Les recettes</w:t>
      </w:r>
      <w:r w:rsidR="00733A74" w:rsidRPr="00733A74">
        <w:rPr>
          <w:rFonts w:ascii="Calibri" w:hAnsi="Calibri" w:cs="Calibri"/>
        </w:rPr>
        <w:t xml:space="preserve"> </w:t>
      </w:r>
      <w:r w:rsidR="00733A74">
        <w:rPr>
          <w:rFonts w:ascii="Calibri" w:hAnsi="Calibri" w:cs="Calibri"/>
        </w:rPr>
        <w:t>globales du film (dont rémunérations producteurs et refacturations)</w:t>
      </w:r>
      <w:r w:rsidR="00E67D5E">
        <w:rPr>
          <w:rFonts w:ascii="Calibri" w:hAnsi="Calibri" w:cs="Calibri"/>
        </w:rPr>
        <w:t xml:space="preserve"> se sont </w:t>
      </w:r>
      <w:r w:rsidR="00811990">
        <w:rPr>
          <w:rFonts w:ascii="Calibri" w:hAnsi="Calibri" w:cs="Calibri"/>
        </w:rPr>
        <w:t>élevées à 1 053</w:t>
      </w:r>
      <w:r w:rsidR="00E67D5E">
        <w:rPr>
          <w:rFonts w:ascii="Calibri" w:hAnsi="Calibri" w:cs="Calibri"/>
        </w:rPr>
        <w:t xml:space="preserve"> k€</w:t>
      </w:r>
      <w:r w:rsidR="005E3638">
        <w:rPr>
          <w:rFonts w:ascii="Calibri" w:hAnsi="Calibri" w:cs="Calibri"/>
        </w:rPr>
        <w:t> ;</w:t>
      </w:r>
    </w:p>
    <w:p w14:paraId="7CA5BAB4" w14:textId="1DBDF59D" w:rsidR="00811990" w:rsidRDefault="00733A74" w:rsidP="00733A74">
      <w:pPr>
        <w:pStyle w:val="Paragraphedeliste"/>
        <w:numPr>
          <w:ilvl w:val="0"/>
          <w:numId w:val="12"/>
        </w:numPr>
        <w:jc w:val="both"/>
        <w:rPr>
          <w:rFonts w:ascii="Calibri" w:hAnsi="Calibri" w:cs="Calibri"/>
        </w:rPr>
      </w:pPr>
      <w:r w:rsidRPr="007D2138">
        <w:rPr>
          <w:rFonts w:ascii="Calibri" w:hAnsi="Calibri" w:cs="Calibri"/>
          <w:b/>
          <w:i/>
        </w:rPr>
        <w:t>Golo et Ritchie</w:t>
      </w:r>
      <w:r>
        <w:rPr>
          <w:rFonts w:ascii="Calibri" w:hAnsi="Calibri" w:cs="Calibri"/>
          <w:i/>
        </w:rPr>
        <w:t xml:space="preserve">, </w:t>
      </w:r>
      <w:r w:rsidRPr="00733A74">
        <w:rPr>
          <w:rFonts w:ascii="Calibri" w:hAnsi="Calibri" w:cs="Calibri"/>
        </w:rPr>
        <w:t>Documentaire de Martin Fougerole et Ahmed Hamidi d'1 h 14 min sorti le 14/08/2024 (France)</w:t>
      </w:r>
      <w:r>
        <w:rPr>
          <w:rFonts w:ascii="Calibri" w:hAnsi="Calibri" w:cs="Calibri"/>
        </w:rPr>
        <w:t xml:space="preserve"> dont les recettes globales du film (dont rémunérations producteurs et refacturations) se sont élevées à 857 k€ ;</w:t>
      </w:r>
    </w:p>
    <w:p w14:paraId="300D3645" w14:textId="26D6AF5D" w:rsidR="00733A74" w:rsidRPr="00E67D5E" w:rsidRDefault="00733A74" w:rsidP="00733A74">
      <w:pPr>
        <w:pStyle w:val="Paragraphedeliste"/>
        <w:numPr>
          <w:ilvl w:val="0"/>
          <w:numId w:val="12"/>
        </w:numPr>
        <w:jc w:val="both"/>
        <w:rPr>
          <w:rFonts w:ascii="Calibri" w:hAnsi="Calibri" w:cs="Calibri"/>
        </w:rPr>
      </w:pPr>
      <w:r w:rsidRPr="007D2138">
        <w:rPr>
          <w:rFonts w:ascii="Calibri" w:hAnsi="Calibri" w:cs="Calibri"/>
          <w:b/>
          <w:i/>
        </w:rPr>
        <w:lastRenderedPageBreak/>
        <w:t>Le Royaume</w:t>
      </w:r>
      <w:r>
        <w:rPr>
          <w:rFonts w:ascii="Calibri" w:hAnsi="Calibri" w:cs="Calibri"/>
          <w:i/>
        </w:rPr>
        <w:t xml:space="preserve">, </w:t>
      </w:r>
      <w:r w:rsidRPr="00733A74">
        <w:rPr>
          <w:rFonts w:ascii="Calibri" w:hAnsi="Calibri" w:cs="Calibri"/>
        </w:rPr>
        <w:t xml:space="preserve">Film de Julien Colonna d'1 h 50 min sorti le 13/11/2024 (France) dont les recettes </w:t>
      </w:r>
      <w:r>
        <w:rPr>
          <w:rFonts w:ascii="Calibri" w:hAnsi="Calibri" w:cs="Calibri"/>
        </w:rPr>
        <w:t>globales du film (dont rémunérations producteurs et refacturations</w:t>
      </w:r>
      <w:r w:rsidR="007F0923">
        <w:rPr>
          <w:rFonts w:ascii="Calibri" w:hAnsi="Calibri" w:cs="Calibri"/>
        </w:rPr>
        <w:t xml:space="preserve"> </w:t>
      </w:r>
      <w:r w:rsidRPr="00733A74">
        <w:rPr>
          <w:rFonts w:ascii="Calibri" w:hAnsi="Calibri" w:cs="Calibri"/>
        </w:rPr>
        <w:t>se sont élevées à 1 617 k€</w:t>
      </w:r>
      <w:r>
        <w:rPr>
          <w:rFonts w:ascii="Calibri" w:hAnsi="Calibri" w:cs="Calibri"/>
        </w:rPr>
        <w:t> ;</w:t>
      </w:r>
    </w:p>
    <w:p w14:paraId="0F4FCD32" w14:textId="10F9DD44" w:rsidR="00EC4FF0" w:rsidRDefault="00032735" w:rsidP="005E3638">
      <w:pPr>
        <w:jc w:val="both"/>
        <w:rPr>
          <w:rFonts w:ascii="Calibri" w:hAnsi="Calibri" w:cs="Calibri"/>
        </w:rPr>
      </w:pPr>
      <w:r w:rsidRPr="005E3638">
        <w:rPr>
          <w:rFonts w:ascii="Calibri" w:hAnsi="Calibri" w:cs="Calibri"/>
        </w:rPr>
        <w:t xml:space="preserve">Par ailleurs, les recettes de distribution du Film </w:t>
      </w:r>
      <w:r w:rsidRPr="005E3638">
        <w:rPr>
          <w:rFonts w:ascii="Calibri" w:hAnsi="Calibri" w:cs="Calibri"/>
          <w:i/>
        </w:rPr>
        <w:t>BAC NORD</w:t>
      </w:r>
      <w:r w:rsidR="005E3638">
        <w:rPr>
          <w:rFonts w:ascii="Calibri" w:hAnsi="Calibri" w:cs="Calibri"/>
        </w:rPr>
        <w:t xml:space="preserve"> générées sur l'exercice 2024</w:t>
      </w:r>
      <w:r w:rsidRPr="005E3638">
        <w:rPr>
          <w:rFonts w:ascii="Calibri" w:hAnsi="Calibri" w:cs="Calibri"/>
        </w:rPr>
        <w:t xml:space="preserve"> (Sort</w:t>
      </w:r>
      <w:r w:rsidR="005E3638">
        <w:rPr>
          <w:rFonts w:ascii="Calibri" w:hAnsi="Calibri" w:cs="Calibri"/>
        </w:rPr>
        <w:t>ie 2021) se sont élevées à 572</w:t>
      </w:r>
      <w:r w:rsidR="00733A74">
        <w:rPr>
          <w:rFonts w:ascii="Calibri" w:hAnsi="Calibri" w:cs="Calibri"/>
        </w:rPr>
        <w:t xml:space="preserve"> k€ et celles du Film Yannick générées sur l’exercice 2024 se sont élevées à 688 k€</w:t>
      </w:r>
      <w:r w:rsidR="007F0923">
        <w:rPr>
          <w:rFonts w:ascii="Calibri" w:hAnsi="Calibri" w:cs="Calibri"/>
        </w:rPr>
        <w:t>.</w:t>
      </w:r>
    </w:p>
    <w:p w14:paraId="037F9D75" w14:textId="77777777" w:rsidR="007A745D" w:rsidRPr="007A745D" w:rsidRDefault="007A745D" w:rsidP="007A745D">
      <w:pPr>
        <w:jc w:val="both"/>
        <w:rPr>
          <w:rFonts w:ascii="Calibri" w:hAnsi="Calibri" w:cs="Calibri"/>
        </w:rPr>
      </w:pPr>
      <w:r w:rsidRPr="007A745D">
        <w:rPr>
          <w:rFonts w:ascii="Calibri" w:hAnsi="Calibri" w:cs="Calibri"/>
        </w:rPr>
        <w:t>Pour mémoire l'année avait été marquée 2023 par la production des œuvres suivantes [Visa obtenu sur l'exercice) :</w:t>
      </w:r>
    </w:p>
    <w:p w14:paraId="51C83E03" w14:textId="77777777" w:rsidR="007A745D" w:rsidRPr="007A745D" w:rsidRDefault="007A745D" w:rsidP="007A745D">
      <w:pPr>
        <w:pStyle w:val="Paragraphedeliste"/>
        <w:numPr>
          <w:ilvl w:val="0"/>
          <w:numId w:val="12"/>
        </w:numPr>
        <w:jc w:val="both"/>
        <w:rPr>
          <w:rFonts w:ascii="Calibri" w:hAnsi="Calibri" w:cs="Calibri"/>
        </w:rPr>
      </w:pPr>
      <w:r w:rsidRPr="007D2138">
        <w:rPr>
          <w:rFonts w:ascii="Calibri" w:hAnsi="Calibri" w:cs="Calibri"/>
          <w:b/>
          <w:i/>
        </w:rPr>
        <w:t>Toni, en famille</w:t>
      </w:r>
      <w:r w:rsidRPr="007A745D">
        <w:rPr>
          <w:rFonts w:ascii="Calibri" w:hAnsi="Calibri" w:cs="Calibri"/>
        </w:rPr>
        <w:t xml:space="preserve"> est une comédie dramatique française écrite et réalisée par Nathan Ambrosioni, sorti en septembre 2023. Le film a été présenté en « compétition officielle » au Festival du Film de Demain 2023, où il remporte trois prix : meilleur film, meilleur scénario et le prix du public. Les recettes se sont élevées à 2 284 K€</w:t>
      </w:r>
    </w:p>
    <w:p w14:paraId="09FFCEE3" w14:textId="77777777" w:rsidR="007A745D" w:rsidRPr="007A745D" w:rsidRDefault="007A745D" w:rsidP="007A745D">
      <w:pPr>
        <w:pStyle w:val="Paragraphedeliste"/>
        <w:numPr>
          <w:ilvl w:val="0"/>
          <w:numId w:val="12"/>
        </w:numPr>
        <w:jc w:val="both"/>
        <w:rPr>
          <w:rFonts w:ascii="Calibri" w:hAnsi="Calibri" w:cs="Calibri"/>
        </w:rPr>
      </w:pPr>
      <w:r w:rsidRPr="007D2138">
        <w:rPr>
          <w:rFonts w:ascii="Calibri" w:hAnsi="Calibri" w:cs="Calibri"/>
          <w:b/>
          <w:i/>
        </w:rPr>
        <w:t>Je verrai toujours vos Visages</w:t>
      </w:r>
      <w:r w:rsidRPr="007A745D">
        <w:rPr>
          <w:rFonts w:ascii="Calibri" w:hAnsi="Calibri" w:cs="Calibri"/>
          <w:i/>
        </w:rPr>
        <w:t xml:space="preserve"> </w:t>
      </w:r>
      <w:r w:rsidRPr="007A745D">
        <w:rPr>
          <w:rFonts w:ascii="Calibri" w:hAnsi="Calibri" w:cs="Calibri"/>
        </w:rPr>
        <w:t>Film de Jeanne Herry sorti en mars 2023. Les recettes se sont élevées à 5 028 K€</w:t>
      </w:r>
    </w:p>
    <w:p w14:paraId="35B08D1E" w14:textId="77777777" w:rsidR="007A745D" w:rsidRPr="007A745D" w:rsidRDefault="007A745D" w:rsidP="007A745D">
      <w:pPr>
        <w:pStyle w:val="Paragraphedeliste"/>
        <w:numPr>
          <w:ilvl w:val="0"/>
          <w:numId w:val="12"/>
        </w:numPr>
        <w:rPr>
          <w:rFonts w:ascii="Calibri" w:hAnsi="Calibri" w:cs="Calibri"/>
        </w:rPr>
      </w:pPr>
      <w:r w:rsidRPr="007D2138">
        <w:rPr>
          <w:rFonts w:ascii="Calibri" w:hAnsi="Calibri" w:cs="Calibri"/>
          <w:b/>
          <w:i/>
        </w:rPr>
        <w:t>Nouveaux Riches</w:t>
      </w:r>
      <w:r w:rsidRPr="007A745D">
        <w:rPr>
          <w:rFonts w:ascii="Calibri" w:hAnsi="Calibri" w:cs="Calibri"/>
        </w:rPr>
        <w:t xml:space="preserve"> est une comédie réalisée par Julien Royal, sortie en novembre 2023 sur la plateforme Netflix. Les recettes se sont élevées à 5 960 k€.</w:t>
      </w:r>
    </w:p>
    <w:p w14:paraId="512289A5" w14:textId="77777777" w:rsidR="007A745D" w:rsidRPr="007A745D" w:rsidRDefault="007A745D" w:rsidP="007A745D">
      <w:pPr>
        <w:pStyle w:val="Paragraphedeliste"/>
        <w:numPr>
          <w:ilvl w:val="0"/>
          <w:numId w:val="12"/>
        </w:numPr>
        <w:jc w:val="both"/>
        <w:rPr>
          <w:rFonts w:ascii="Calibri" w:hAnsi="Calibri" w:cs="Calibri"/>
        </w:rPr>
      </w:pPr>
      <w:r w:rsidRPr="007D2138">
        <w:rPr>
          <w:rFonts w:ascii="Calibri" w:hAnsi="Calibri" w:cs="Calibri"/>
          <w:b/>
          <w:i/>
        </w:rPr>
        <w:t>Zone à défendre</w:t>
      </w:r>
      <w:r w:rsidRPr="007A745D">
        <w:rPr>
          <w:rFonts w:ascii="Calibri" w:hAnsi="Calibri" w:cs="Calibri"/>
          <w:i/>
        </w:rPr>
        <w:t xml:space="preserve">, </w:t>
      </w:r>
      <w:r w:rsidRPr="007A745D">
        <w:rPr>
          <w:rFonts w:ascii="Calibri" w:hAnsi="Calibri" w:cs="Calibri"/>
        </w:rPr>
        <w:t xml:space="preserve">le produit de la sous-traitance pour la production de Zad s’est élevé à 5 943k€ et 938 k€ </w:t>
      </w:r>
    </w:p>
    <w:p w14:paraId="4B95BDE3" w14:textId="2DF264F6" w:rsidR="007F0923" w:rsidRDefault="007A745D" w:rsidP="007F0923">
      <w:pPr>
        <w:pStyle w:val="Paragraphedeliste"/>
        <w:numPr>
          <w:ilvl w:val="0"/>
          <w:numId w:val="12"/>
        </w:numPr>
        <w:jc w:val="both"/>
        <w:rPr>
          <w:rFonts w:ascii="Calibri" w:hAnsi="Calibri" w:cs="Calibri"/>
        </w:rPr>
      </w:pPr>
      <w:r w:rsidRPr="007D2138">
        <w:rPr>
          <w:rFonts w:ascii="Calibri" w:hAnsi="Calibri" w:cs="Calibri"/>
          <w:b/>
          <w:i/>
        </w:rPr>
        <w:t>Yannick</w:t>
      </w:r>
      <w:r w:rsidRPr="007A745D">
        <w:rPr>
          <w:rFonts w:ascii="Calibri" w:hAnsi="Calibri" w:cs="Calibri"/>
        </w:rPr>
        <w:t xml:space="preserve">, film de Q. Dupieux sortie en aout 2023, est une co-production avec le Trésor dont ce dernier et producteur exécutif et gère les recettes, suivant contrat, des recettes pourrons être générés ce n’est pas le cas au 31/12/2023. </w:t>
      </w:r>
    </w:p>
    <w:p w14:paraId="4717EB49" w14:textId="77777777" w:rsidR="006328FB" w:rsidRPr="006328FB" w:rsidRDefault="006328FB" w:rsidP="006328FB">
      <w:pPr>
        <w:pStyle w:val="Paragraphedeliste"/>
        <w:jc w:val="both"/>
        <w:rPr>
          <w:rFonts w:ascii="Calibri" w:hAnsi="Calibri" w:cs="Calibri"/>
        </w:rPr>
      </w:pPr>
    </w:p>
    <w:p w14:paraId="48757926" w14:textId="2EC25FBE" w:rsidR="00F10C43" w:rsidRDefault="00773AF4" w:rsidP="001B4280">
      <w:pPr>
        <w:jc w:val="both"/>
        <w:rPr>
          <w:rFonts w:ascii="Calibri" w:hAnsi="Calibri" w:cs="Calibri"/>
          <w:highlight w:val="yellow"/>
        </w:rPr>
      </w:pPr>
      <w:r>
        <w:rPr>
          <w:noProof/>
          <w:lang w:eastAsia="fr-FR"/>
        </w:rPr>
        <w:drawing>
          <wp:inline distT="0" distB="0" distL="0" distR="0" wp14:anchorId="00273327" wp14:editId="3DC4C6DD">
            <wp:extent cx="3166280" cy="2499399"/>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177493" cy="2508250"/>
                    </a:xfrm>
                    <a:prstGeom prst="rect">
                      <a:avLst/>
                    </a:prstGeom>
                  </pic:spPr>
                </pic:pic>
              </a:graphicData>
            </a:graphic>
          </wp:inline>
        </w:drawing>
      </w:r>
    </w:p>
    <w:p w14:paraId="5DB57315" w14:textId="77777777" w:rsidR="004049B2" w:rsidRDefault="004049B2" w:rsidP="001B4280">
      <w:pPr>
        <w:jc w:val="both"/>
        <w:rPr>
          <w:rFonts w:ascii="Calibri" w:hAnsi="Calibri" w:cs="Calibri"/>
          <w:highlight w:val="yellow"/>
        </w:rPr>
      </w:pPr>
    </w:p>
    <w:p w14:paraId="25A28137" w14:textId="4C5A4510" w:rsidR="00136E10" w:rsidRPr="006328FB" w:rsidRDefault="003E095C" w:rsidP="001B4280">
      <w:pPr>
        <w:jc w:val="both"/>
        <w:rPr>
          <w:rFonts w:ascii="Calibri" w:hAnsi="Calibri" w:cs="Calibri"/>
        </w:rPr>
      </w:pPr>
      <w:r w:rsidRPr="00136E10">
        <w:rPr>
          <w:rFonts w:ascii="Calibri" w:hAnsi="Calibri" w:cs="Calibri"/>
        </w:rPr>
        <w:lastRenderedPageBreak/>
        <w:t xml:space="preserve">Concernant les </w:t>
      </w:r>
      <w:r w:rsidRPr="009070C0">
        <w:rPr>
          <w:rFonts w:ascii="Calibri" w:hAnsi="Calibri" w:cs="Calibri"/>
          <w:b/>
        </w:rPr>
        <w:t>« Rémunération</w:t>
      </w:r>
      <w:r w:rsidR="009070C0">
        <w:rPr>
          <w:rFonts w:ascii="Calibri" w:hAnsi="Calibri" w:cs="Calibri"/>
          <w:b/>
        </w:rPr>
        <w:t>s</w:t>
      </w:r>
      <w:r w:rsidRPr="009070C0">
        <w:rPr>
          <w:rFonts w:ascii="Calibri" w:hAnsi="Calibri" w:cs="Calibri"/>
          <w:b/>
        </w:rPr>
        <w:t xml:space="preserve"> producteur / FG »,</w:t>
      </w:r>
      <w:r w:rsidRPr="00136E10">
        <w:rPr>
          <w:rFonts w:ascii="Calibri" w:hAnsi="Calibri" w:cs="Calibri"/>
        </w:rPr>
        <w:t xml:space="preserve"> celles-ci sont </w:t>
      </w:r>
      <w:r w:rsidR="00136E10" w:rsidRPr="00136E10">
        <w:rPr>
          <w:rFonts w:ascii="Calibri" w:hAnsi="Calibri" w:cs="Calibri"/>
        </w:rPr>
        <w:t xml:space="preserve">en augmentation de </w:t>
      </w:r>
      <w:r w:rsidR="007F0923">
        <w:rPr>
          <w:rFonts w:ascii="Calibri" w:hAnsi="Calibri" w:cs="Calibri"/>
        </w:rPr>
        <w:t xml:space="preserve">+ </w:t>
      </w:r>
      <w:r w:rsidR="00136E10" w:rsidRPr="00136E10">
        <w:rPr>
          <w:rFonts w:ascii="Calibri" w:hAnsi="Calibri" w:cs="Calibri"/>
        </w:rPr>
        <w:t>15 % et s’élèvent à 1 026 k€ contre 869 k€ en 2023</w:t>
      </w:r>
      <w:r w:rsidR="009070C0">
        <w:rPr>
          <w:rFonts w:ascii="Calibri" w:hAnsi="Calibri" w:cs="Calibri"/>
        </w:rPr>
        <w:t xml:space="preserve"> résultant de la rémunération générée par le film </w:t>
      </w:r>
      <w:r w:rsidR="009070C0" w:rsidRPr="009070C0">
        <w:rPr>
          <w:rFonts w:ascii="Calibri" w:hAnsi="Calibri" w:cs="Calibri"/>
          <w:i/>
        </w:rPr>
        <w:t>L’Amour Ouf</w:t>
      </w:r>
      <w:r w:rsidR="009070C0">
        <w:rPr>
          <w:rFonts w:ascii="Calibri" w:hAnsi="Calibri" w:cs="Calibri"/>
        </w:rPr>
        <w:t xml:space="preserve"> en 2024.</w:t>
      </w:r>
      <w:r w:rsidR="007F0923">
        <w:rPr>
          <w:rFonts w:ascii="Calibri" w:hAnsi="Calibri" w:cs="Calibri"/>
        </w:rPr>
        <w:t xml:space="preserve"> Pour rappel en 2023 une régule de -69 k€ concernant Novembre avait été constatée et 938 k€ concernait </w:t>
      </w:r>
      <w:r w:rsidR="007F0923" w:rsidRPr="00431601">
        <w:rPr>
          <w:rFonts w:ascii="Calibri" w:hAnsi="Calibri" w:cs="Calibri"/>
          <w:i/>
        </w:rPr>
        <w:t>Z</w:t>
      </w:r>
      <w:r w:rsidR="007F0923">
        <w:rPr>
          <w:rFonts w:ascii="Calibri" w:hAnsi="Calibri" w:cs="Calibri"/>
          <w:i/>
        </w:rPr>
        <w:t>one à défendre (Z</w:t>
      </w:r>
      <w:r w:rsidR="007F0923" w:rsidRPr="00431601">
        <w:rPr>
          <w:rFonts w:ascii="Calibri" w:hAnsi="Calibri" w:cs="Calibri"/>
          <w:i/>
        </w:rPr>
        <w:t>AD</w:t>
      </w:r>
      <w:r w:rsidR="007F0923">
        <w:rPr>
          <w:rFonts w:ascii="Calibri" w:hAnsi="Calibri" w:cs="Calibri"/>
          <w:i/>
        </w:rPr>
        <w:t>)</w:t>
      </w:r>
      <w:r w:rsidR="007F0923">
        <w:rPr>
          <w:rFonts w:ascii="Calibri" w:hAnsi="Calibri" w:cs="Calibri"/>
        </w:rPr>
        <w:t>.</w:t>
      </w:r>
    </w:p>
    <w:p w14:paraId="46D18A5E" w14:textId="48F444A5" w:rsidR="00DE1D7A" w:rsidRDefault="009070C0" w:rsidP="001B4280">
      <w:pPr>
        <w:jc w:val="both"/>
        <w:rPr>
          <w:rFonts w:ascii="Calibri" w:hAnsi="Calibri" w:cs="Calibri"/>
          <w:highlight w:val="yellow"/>
        </w:rPr>
      </w:pPr>
      <w:r>
        <w:rPr>
          <w:noProof/>
          <w:lang w:eastAsia="fr-FR"/>
        </w:rPr>
        <w:drawing>
          <wp:inline distT="0" distB="0" distL="0" distR="0" wp14:anchorId="67F062B1" wp14:editId="269699A1">
            <wp:extent cx="4245306" cy="870832"/>
            <wp:effectExtent l="0" t="0" r="3175" b="571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255727" cy="872970"/>
                    </a:xfrm>
                    <a:prstGeom prst="rect">
                      <a:avLst/>
                    </a:prstGeom>
                  </pic:spPr>
                </pic:pic>
              </a:graphicData>
            </a:graphic>
          </wp:inline>
        </w:drawing>
      </w:r>
    </w:p>
    <w:p w14:paraId="725D4CA6" w14:textId="5C33CC1F" w:rsidR="009070C0" w:rsidRPr="00136E10" w:rsidRDefault="009070C0" w:rsidP="00136E10">
      <w:pPr>
        <w:jc w:val="both"/>
        <w:rPr>
          <w:rFonts w:ascii="Calibri" w:hAnsi="Calibri" w:cs="Calibri"/>
        </w:rPr>
      </w:pPr>
      <w:r>
        <w:rPr>
          <w:rFonts w:ascii="Calibri" w:hAnsi="Calibri" w:cs="Calibri"/>
        </w:rPr>
        <w:t>Les</w:t>
      </w:r>
      <w:r w:rsidR="009B1E51" w:rsidRPr="00136E10">
        <w:rPr>
          <w:rFonts w:ascii="Calibri" w:hAnsi="Calibri" w:cs="Calibri"/>
        </w:rPr>
        <w:t xml:space="preserve"> </w:t>
      </w:r>
      <w:r w:rsidR="009B1E51" w:rsidRPr="009070C0">
        <w:rPr>
          <w:rFonts w:ascii="Calibri" w:hAnsi="Calibri" w:cs="Calibri"/>
          <w:b/>
        </w:rPr>
        <w:t>« Recettes Prod</w:t>
      </w:r>
      <w:r w:rsidR="00136E10" w:rsidRPr="009070C0">
        <w:rPr>
          <w:rFonts w:ascii="Calibri" w:hAnsi="Calibri" w:cs="Calibri"/>
          <w:b/>
        </w:rPr>
        <w:t>uction »</w:t>
      </w:r>
      <w:r>
        <w:rPr>
          <w:rFonts w:ascii="Calibri" w:hAnsi="Calibri" w:cs="Calibri"/>
        </w:rPr>
        <w:t xml:space="preserve"> sont en a</w:t>
      </w:r>
      <w:r w:rsidR="007F0923">
        <w:rPr>
          <w:rFonts w:ascii="Calibri" w:hAnsi="Calibri" w:cs="Calibri"/>
        </w:rPr>
        <w:t xml:space="preserve">ugmentation de + </w:t>
      </w:r>
      <w:r>
        <w:rPr>
          <w:rFonts w:ascii="Calibri" w:hAnsi="Calibri" w:cs="Calibri"/>
        </w:rPr>
        <w:t xml:space="preserve">2,9 M€ principalement tirées par les recettes des films </w:t>
      </w:r>
      <w:r w:rsidRPr="009070C0">
        <w:rPr>
          <w:rFonts w:ascii="Calibri" w:hAnsi="Calibri" w:cs="Calibri"/>
          <w:i/>
        </w:rPr>
        <w:t>Leurs Enfants Après Eux</w:t>
      </w:r>
      <w:r>
        <w:rPr>
          <w:rFonts w:ascii="Calibri" w:hAnsi="Calibri" w:cs="Calibri"/>
        </w:rPr>
        <w:t xml:space="preserve"> </w:t>
      </w:r>
      <w:r w:rsidR="00E644E9">
        <w:rPr>
          <w:rFonts w:ascii="Calibri" w:hAnsi="Calibri" w:cs="Calibri"/>
        </w:rPr>
        <w:t xml:space="preserve">pour 3 M€ </w:t>
      </w:r>
      <w:r>
        <w:rPr>
          <w:rFonts w:ascii="Calibri" w:hAnsi="Calibri" w:cs="Calibri"/>
        </w:rPr>
        <w:t xml:space="preserve">et </w:t>
      </w:r>
      <w:r w:rsidRPr="007F0923">
        <w:rPr>
          <w:rFonts w:ascii="Calibri" w:hAnsi="Calibri" w:cs="Calibri"/>
          <w:i/>
        </w:rPr>
        <w:t>Ni Chaînes ni Maîtres</w:t>
      </w:r>
      <w:r>
        <w:rPr>
          <w:rFonts w:ascii="Calibri" w:hAnsi="Calibri" w:cs="Calibri"/>
        </w:rPr>
        <w:t xml:space="preserve"> </w:t>
      </w:r>
      <w:r w:rsidR="00E644E9">
        <w:rPr>
          <w:rFonts w:ascii="Calibri" w:hAnsi="Calibri" w:cs="Calibri"/>
        </w:rPr>
        <w:t>pour 1 M€.</w:t>
      </w:r>
    </w:p>
    <w:p w14:paraId="171FCC68" w14:textId="6794BED3" w:rsidR="00136E10" w:rsidRPr="00136E10" w:rsidRDefault="009070C0" w:rsidP="00136E10">
      <w:pPr>
        <w:jc w:val="both"/>
        <w:rPr>
          <w:rFonts w:ascii="Calibri" w:hAnsi="Calibri" w:cs="Calibri"/>
        </w:rPr>
      </w:pPr>
      <w:r>
        <w:rPr>
          <w:noProof/>
          <w:lang w:eastAsia="fr-FR"/>
        </w:rPr>
        <w:drawing>
          <wp:inline distT="0" distB="0" distL="0" distR="0" wp14:anchorId="794C1959" wp14:editId="2E907B57">
            <wp:extent cx="4428823" cy="151248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435587" cy="1514795"/>
                    </a:xfrm>
                    <a:prstGeom prst="rect">
                      <a:avLst/>
                    </a:prstGeom>
                  </pic:spPr>
                </pic:pic>
              </a:graphicData>
            </a:graphic>
          </wp:inline>
        </w:drawing>
      </w:r>
    </w:p>
    <w:p w14:paraId="170D5D10" w14:textId="7BDB65C9" w:rsidR="00B52390" w:rsidRDefault="00B52390" w:rsidP="001B4280">
      <w:pPr>
        <w:jc w:val="both"/>
        <w:rPr>
          <w:rFonts w:ascii="Calibri" w:hAnsi="Calibri" w:cs="Calibri"/>
        </w:rPr>
      </w:pPr>
      <w:r>
        <w:rPr>
          <w:rFonts w:ascii="Calibri" w:hAnsi="Calibri" w:cs="Calibri"/>
        </w:rPr>
        <w:t>L</w:t>
      </w:r>
      <w:r w:rsidR="001577BB" w:rsidRPr="00136E10">
        <w:rPr>
          <w:rFonts w:ascii="Calibri" w:hAnsi="Calibri" w:cs="Calibri"/>
        </w:rPr>
        <w:t xml:space="preserve">es </w:t>
      </w:r>
      <w:r w:rsidR="001577BB" w:rsidRPr="007F0923">
        <w:rPr>
          <w:rFonts w:ascii="Calibri" w:hAnsi="Calibri" w:cs="Calibri"/>
          <w:b/>
        </w:rPr>
        <w:t>« Recettes Produc</w:t>
      </w:r>
      <w:r w:rsidR="00136E10" w:rsidRPr="007F0923">
        <w:rPr>
          <w:rFonts w:ascii="Calibri" w:hAnsi="Calibri" w:cs="Calibri"/>
          <w:b/>
        </w:rPr>
        <w:t>tion, TV »,</w:t>
      </w:r>
      <w:r w:rsidR="00136E10" w:rsidRPr="00136E10">
        <w:rPr>
          <w:rFonts w:ascii="Calibri" w:hAnsi="Calibri" w:cs="Calibri"/>
        </w:rPr>
        <w:t xml:space="preserve"> </w:t>
      </w:r>
      <w:r>
        <w:rPr>
          <w:rFonts w:ascii="Calibri" w:hAnsi="Calibri" w:cs="Calibri"/>
        </w:rPr>
        <w:t xml:space="preserve">augmentent de </w:t>
      </w:r>
      <w:r w:rsidR="007F0923">
        <w:rPr>
          <w:rFonts w:ascii="Calibri" w:hAnsi="Calibri" w:cs="Calibri"/>
        </w:rPr>
        <w:t xml:space="preserve">+ </w:t>
      </w:r>
      <w:r>
        <w:rPr>
          <w:rFonts w:ascii="Calibri" w:hAnsi="Calibri" w:cs="Calibri"/>
        </w:rPr>
        <w:t xml:space="preserve">2,2 M€ en 2024 tirées par les diffusions télévisuelles des films </w:t>
      </w:r>
      <w:r w:rsidRPr="00B52390">
        <w:rPr>
          <w:rFonts w:ascii="Calibri" w:hAnsi="Calibri" w:cs="Calibri"/>
          <w:i/>
        </w:rPr>
        <w:t>Le Deuxième Acte</w:t>
      </w:r>
      <w:r>
        <w:rPr>
          <w:rFonts w:ascii="Calibri" w:hAnsi="Calibri" w:cs="Calibri"/>
        </w:rPr>
        <w:t xml:space="preserve"> pour 3,9 M€, </w:t>
      </w:r>
      <w:r w:rsidRPr="00B52390">
        <w:rPr>
          <w:rFonts w:ascii="Calibri" w:hAnsi="Calibri" w:cs="Calibri"/>
          <w:i/>
        </w:rPr>
        <w:t>Leurs Enfants Après Eux</w:t>
      </w:r>
      <w:r>
        <w:rPr>
          <w:rFonts w:ascii="Calibri" w:hAnsi="Calibri" w:cs="Calibri"/>
        </w:rPr>
        <w:t xml:space="preserve"> pour 5 M€, </w:t>
      </w:r>
      <w:r w:rsidRPr="00B52390">
        <w:rPr>
          <w:rFonts w:ascii="Calibri" w:hAnsi="Calibri" w:cs="Calibri"/>
          <w:i/>
        </w:rPr>
        <w:t>Ni Chaînes ni Maîtres</w:t>
      </w:r>
      <w:r>
        <w:rPr>
          <w:rFonts w:ascii="Calibri" w:hAnsi="Calibri" w:cs="Calibri"/>
        </w:rPr>
        <w:t xml:space="preserve"> pour 3,1 M€.</w:t>
      </w:r>
    </w:p>
    <w:p w14:paraId="4AA9D6F3" w14:textId="069C0587" w:rsidR="009B1E51" w:rsidRPr="002106D8" w:rsidRDefault="00B52390" w:rsidP="001B4280">
      <w:pPr>
        <w:jc w:val="both"/>
        <w:rPr>
          <w:rFonts w:ascii="Calibri" w:hAnsi="Calibri" w:cs="Calibri"/>
        </w:rPr>
      </w:pPr>
      <w:r>
        <w:rPr>
          <w:noProof/>
          <w:lang w:eastAsia="fr-FR"/>
        </w:rPr>
        <w:drawing>
          <wp:inline distT="0" distB="0" distL="0" distR="0" wp14:anchorId="25DDE350" wp14:editId="7A293CCC">
            <wp:extent cx="3951814" cy="1522180"/>
            <wp:effectExtent l="0" t="0" r="0" b="190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59008" cy="1524951"/>
                    </a:xfrm>
                    <a:prstGeom prst="rect">
                      <a:avLst/>
                    </a:prstGeom>
                  </pic:spPr>
                </pic:pic>
              </a:graphicData>
            </a:graphic>
          </wp:inline>
        </w:drawing>
      </w:r>
    </w:p>
    <w:p w14:paraId="19CFF515" w14:textId="73FB2A3A" w:rsidR="00B52390" w:rsidRDefault="009B1E51" w:rsidP="001B4280">
      <w:pPr>
        <w:jc w:val="both"/>
        <w:rPr>
          <w:rFonts w:ascii="Calibri" w:hAnsi="Calibri" w:cs="Calibri"/>
        </w:rPr>
      </w:pPr>
      <w:r w:rsidRPr="002106D8">
        <w:rPr>
          <w:rFonts w:ascii="Calibri" w:hAnsi="Calibri" w:cs="Calibri"/>
        </w:rPr>
        <w:t xml:space="preserve">Les </w:t>
      </w:r>
      <w:r w:rsidR="00D11485" w:rsidRPr="007F0923">
        <w:rPr>
          <w:rFonts w:ascii="Calibri" w:hAnsi="Calibri" w:cs="Calibri"/>
          <w:b/>
        </w:rPr>
        <w:t>« </w:t>
      </w:r>
      <w:r w:rsidRPr="007F0923">
        <w:rPr>
          <w:rFonts w:ascii="Calibri" w:hAnsi="Calibri" w:cs="Calibri"/>
          <w:b/>
        </w:rPr>
        <w:t>Recettes Musique</w:t>
      </w:r>
      <w:r w:rsidR="00D11485" w:rsidRPr="007F0923">
        <w:rPr>
          <w:rFonts w:ascii="Calibri" w:hAnsi="Calibri" w:cs="Calibri"/>
          <w:b/>
        </w:rPr>
        <w:t> »</w:t>
      </w:r>
      <w:r w:rsidRPr="002106D8">
        <w:rPr>
          <w:rFonts w:ascii="Calibri" w:hAnsi="Calibri" w:cs="Calibri"/>
        </w:rPr>
        <w:t xml:space="preserve"> </w:t>
      </w:r>
      <w:r w:rsidR="00B52390">
        <w:rPr>
          <w:rFonts w:ascii="Calibri" w:hAnsi="Calibri" w:cs="Calibri"/>
        </w:rPr>
        <w:t xml:space="preserve">sont en légère diminution de </w:t>
      </w:r>
      <w:r w:rsidR="007F0923">
        <w:rPr>
          <w:rFonts w:ascii="Calibri" w:hAnsi="Calibri" w:cs="Calibri"/>
        </w:rPr>
        <w:t xml:space="preserve">- </w:t>
      </w:r>
      <w:r w:rsidR="00B52390">
        <w:rPr>
          <w:rFonts w:ascii="Calibri" w:hAnsi="Calibri" w:cs="Calibri"/>
        </w:rPr>
        <w:t xml:space="preserve">43 k€ résultant principalement des recettes musicales générées en lien avec la sortie du film </w:t>
      </w:r>
      <w:r w:rsidR="00B52390" w:rsidRPr="007F0923">
        <w:rPr>
          <w:rFonts w:ascii="Calibri" w:hAnsi="Calibri" w:cs="Calibri"/>
          <w:i/>
        </w:rPr>
        <w:t>Novembre</w:t>
      </w:r>
      <w:r w:rsidR="00B52390">
        <w:rPr>
          <w:rFonts w:ascii="Calibri" w:hAnsi="Calibri" w:cs="Calibri"/>
        </w:rPr>
        <w:t xml:space="preserve"> en 2023 pour 35 k€.</w:t>
      </w:r>
    </w:p>
    <w:p w14:paraId="796EB5E0" w14:textId="321CC2DF" w:rsidR="00B52390" w:rsidRPr="002106D8" w:rsidRDefault="00B52390" w:rsidP="001B4280">
      <w:pPr>
        <w:jc w:val="both"/>
        <w:rPr>
          <w:rFonts w:ascii="Calibri" w:hAnsi="Calibri" w:cs="Calibri"/>
        </w:rPr>
      </w:pPr>
      <w:r>
        <w:rPr>
          <w:noProof/>
          <w:lang w:eastAsia="fr-FR"/>
        </w:rPr>
        <w:lastRenderedPageBreak/>
        <w:drawing>
          <wp:inline distT="0" distB="0" distL="0" distR="0" wp14:anchorId="146CBCE8" wp14:editId="4D24E7C8">
            <wp:extent cx="4366716" cy="2339312"/>
            <wp:effectExtent l="0" t="0" r="0" b="444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376771" cy="2344698"/>
                    </a:xfrm>
                    <a:prstGeom prst="rect">
                      <a:avLst/>
                    </a:prstGeom>
                  </pic:spPr>
                </pic:pic>
              </a:graphicData>
            </a:graphic>
          </wp:inline>
        </w:drawing>
      </w:r>
    </w:p>
    <w:p w14:paraId="7B06AC4E" w14:textId="4DD164C8" w:rsidR="009B1E51" w:rsidRPr="003B1D37" w:rsidRDefault="009B1E51" w:rsidP="001B4280">
      <w:pPr>
        <w:jc w:val="both"/>
        <w:rPr>
          <w:rFonts w:ascii="Calibri" w:hAnsi="Calibri" w:cs="Calibri"/>
          <w:highlight w:val="yellow"/>
        </w:rPr>
      </w:pPr>
    </w:p>
    <w:p w14:paraId="7F6F9685" w14:textId="611114A8" w:rsidR="007F0923" w:rsidRPr="002106D8" w:rsidRDefault="00D11485" w:rsidP="001B4280">
      <w:pPr>
        <w:jc w:val="both"/>
        <w:rPr>
          <w:rFonts w:ascii="Calibri" w:hAnsi="Calibri" w:cs="Calibri"/>
        </w:rPr>
      </w:pPr>
      <w:r w:rsidRPr="002106D8">
        <w:rPr>
          <w:rFonts w:ascii="Calibri" w:hAnsi="Calibri" w:cs="Calibri"/>
        </w:rPr>
        <w:t>Les </w:t>
      </w:r>
      <w:r w:rsidR="002106D8" w:rsidRPr="007F0923">
        <w:rPr>
          <w:rFonts w:ascii="Calibri" w:hAnsi="Calibri" w:cs="Calibri"/>
          <w:b/>
        </w:rPr>
        <w:t>« Recettes distributions »</w:t>
      </w:r>
      <w:r w:rsidR="002106D8" w:rsidRPr="002106D8">
        <w:rPr>
          <w:rFonts w:ascii="Calibri" w:hAnsi="Calibri" w:cs="Calibri"/>
        </w:rPr>
        <w:t xml:space="preserve"> </w:t>
      </w:r>
      <w:r w:rsidR="00FE5044">
        <w:rPr>
          <w:rFonts w:ascii="Calibri" w:hAnsi="Calibri" w:cs="Calibri"/>
        </w:rPr>
        <w:t xml:space="preserve">augmentent de </w:t>
      </w:r>
      <w:r w:rsidR="007F0923">
        <w:rPr>
          <w:rFonts w:ascii="Calibri" w:hAnsi="Calibri" w:cs="Calibri"/>
        </w:rPr>
        <w:t xml:space="preserve">+ </w:t>
      </w:r>
      <w:r w:rsidR="00FE5044">
        <w:rPr>
          <w:rFonts w:ascii="Calibri" w:hAnsi="Calibri" w:cs="Calibri"/>
        </w:rPr>
        <w:t xml:space="preserve">869 k€ principalement tirées par les recettes </w:t>
      </w:r>
      <w:r w:rsidR="007F0923">
        <w:rPr>
          <w:rFonts w:ascii="Calibri" w:hAnsi="Calibri" w:cs="Calibri"/>
        </w:rPr>
        <w:t xml:space="preserve">de </w:t>
      </w:r>
      <w:r w:rsidR="00FE5044">
        <w:rPr>
          <w:rFonts w:ascii="Calibri" w:hAnsi="Calibri" w:cs="Calibri"/>
        </w:rPr>
        <w:t xml:space="preserve">distribution des films </w:t>
      </w:r>
      <w:r w:rsidR="007F0923">
        <w:rPr>
          <w:rFonts w:ascii="Calibri" w:hAnsi="Calibri" w:cs="Calibri"/>
          <w:i/>
        </w:rPr>
        <w:t xml:space="preserve">Golo et Ritchie, Yannick en 2024 et </w:t>
      </w:r>
      <w:r w:rsidR="007F0923" w:rsidRPr="007F0923">
        <w:rPr>
          <w:rFonts w:ascii="Calibri" w:hAnsi="Calibri" w:cs="Calibri"/>
        </w:rPr>
        <w:t xml:space="preserve">par la distribution de </w:t>
      </w:r>
      <w:r w:rsidR="00FE5044" w:rsidRPr="00FE5044">
        <w:rPr>
          <w:rFonts w:ascii="Calibri" w:hAnsi="Calibri" w:cs="Calibri"/>
          <w:i/>
        </w:rPr>
        <w:t>Bac Nord</w:t>
      </w:r>
      <w:r w:rsidR="007F0923">
        <w:rPr>
          <w:rFonts w:ascii="Calibri" w:hAnsi="Calibri" w:cs="Calibri"/>
        </w:rPr>
        <w:t xml:space="preserve"> dont l</w:t>
      </w:r>
      <w:r w:rsidR="00FE5044">
        <w:rPr>
          <w:rFonts w:ascii="Calibri" w:hAnsi="Calibri" w:cs="Calibri"/>
        </w:rPr>
        <w:t>e</w:t>
      </w:r>
      <w:r w:rsidR="007F0923">
        <w:rPr>
          <w:rFonts w:ascii="Calibri" w:hAnsi="Calibri" w:cs="Calibri"/>
        </w:rPr>
        <w:t xml:space="preserve">s recettes </w:t>
      </w:r>
      <w:r w:rsidR="00FE5044">
        <w:rPr>
          <w:rFonts w:ascii="Calibri" w:hAnsi="Calibri" w:cs="Calibri"/>
        </w:rPr>
        <w:t>ont quant à elles diminué de près d’ 1M€ par rapport à 2023.</w:t>
      </w:r>
    </w:p>
    <w:p w14:paraId="759805B5" w14:textId="0F42D0EA" w:rsidR="00D11485" w:rsidRDefault="00A41090" w:rsidP="001B4280">
      <w:pPr>
        <w:jc w:val="both"/>
        <w:rPr>
          <w:rFonts w:ascii="Calibri" w:hAnsi="Calibri" w:cs="Calibri"/>
          <w:highlight w:val="yellow"/>
        </w:rPr>
      </w:pPr>
      <w:r>
        <w:rPr>
          <w:noProof/>
          <w:lang w:eastAsia="fr-FR"/>
        </w:rPr>
        <w:drawing>
          <wp:inline distT="0" distB="0" distL="0" distR="0" wp14:anchorId="1155578F" wp14:editId="120CC56B">
            <wp:extent cx="5038725" cy="3019425"/>
            <wp:effectExtent l="0" t="0" r="9525" b="952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038725" cy="3019425"/>
                    </a:xfrm>
                    <a:prstGeom prst="rect">
                      <a:avLst/>
                    </a:prstGeom>
                  </pic:spPr>
                </pic:pic>
              </a:graphicData>
            </a:graphic>
          </wp:inline>
        </w:drawing>
      </w:r>
    </w:p>
    <w:p w14:paraId="46107261" w14:textId="77777777" w:rsidR="00FE5044" w:rsidRDefault="00FE5044" w:rsidP="001B4280">
      <w:pPr>
        <w:jc w:val="both"/>
        <w:rPr>
          <w:rFonts w:ascii="Calibri" w:hAnsi="Calibri" w:cs="Calibri"/>
          <w:highlight w:val="yellow"/>
        </w:rPr>
      </w:pPr>
    </w:p>
    <w:p w14:paraId="641FD767" w14:textId="5DDADE7B" w:rsidR="00D11485" w:rsidRPr="003B1D37" w:rsidRDefault="00FE5044" w:rsidP="001B4280">
      <w:pPr>
        <w:jc w:val="both"/>
        <w:rPr>
          <w:rFonts w:ascii="Calibri" w:hAnsi="Calibri" w:cs="Calibri"/>
          <w:highlight w:val="yellow"/>
        </w:rPr>
      </w:pPr>
      <w:r>
        <w:rPr>
          <w:noProof/>
          <w:lang w:eastAsia="fr-FR"/>
        </w:rPr>
        <w:lastRenderedPageBreak/>
        <w:drawing>
          <wp:inline distT="0" distB="0" distL="0" distR="0" wp14:anchorId="36BDABB9" wp14:editId="11DAEDAD">
            <wp:extent cx="4247813" cy="1859896"/>
            <wp:effectExtent l="0" t="0" r="635" b="762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253749" cy="1862495"/>
                    </a:xfrm>
                    <a:prstGeom prst="rect">
                      <a:avLst/>
                    </a:prstGeom>
                  </pic:spPr>
                </pic:pic>
              </a:graphicData>
            </a:graphic>
          </wp:inline>
        </w:drawing>
      </w:r>
    </w:p>
    <w:p w14:paraId="2E1382AA" w14:textId="77777777" w:rsidR="00FE5044" w:rsidRPr="00FE5044" w:rsidRDefault="00D11485" w:rsidP="001B4280">
      <w:pPr>
        <w:jc w:val="both"/>
        <w:rPr>
          <w:rFonts w:ascii="Calibri" w:hAnsi="Calibri" w:cs="Calibri"/>
        </w:rPr>
      </w:pPr>
      <w:r w:rsidRPr="00FE5044">
        <w:rPr>
          <w:rFonts w:ascii="Calibri" w:hAnsi="Calibri" w:cs="Calibri"/>
        </w:rPr>
        <w:t xml:space="preserve">Les </w:t>
      </w:r>
      <w:r w:rsidR="00C330AE" w:rsidRPr="00FE5044">
        <w:rPr>
          <w:rFonts w:ascii="Calibri" w:hAnsi="Calibri" w:cs="Calibri"/>
        </w:rPr>
        <w:t>« </w:t>
      </w:r>
      <w:r w:rsidRPr="00FE5044">
        <w:rPr>
          <w:rFonts w:ascii="Calibri" w:hAnsi="Calibri" w:cs="Calibri"/>
        </w:rPr>
        <w:t xml:space="preserve">Refacturations diverses </w:t>
      </w:r>
      <w:r w:rsidR="00C330AE" w:rsidRPr="00FE5044">
        <w:rPr>
          <w:rFonts w:ascii="Calibri" w:hAnsi="Calibri" w:cs="Calibri"/>
        </w:rPr>
        <w:t xml:space="preserve">films » </w:t>
      </w:r>
      <w:r w:rsidR="00FE5044" w:rsidRPr="00FE5044">
        <w:rPr>
          <w:rFonts w:ascii="Calibri" w:hAnsi="Calibri" w:cs="Calibri"/>
        </w:rPr>
        <w:t xml:space="preserve">ont diminué de 5,8 M€ résultant principalement la refacturation 2023 </w:t>
      </w:r>
      <w:r w:rsidR="00C330AE" w:rsidRPr="00FE5044">
        <w:rPr>
          <w:rFonts w:ascii="Calibri" w:hAnsi="Calibri" w:cs="Calibri"/>
        </w:rPr>
        <w:t xml:space="preserve">de </w:t>
      </w:r>
      <w:r w:rsidR="00C330AE" w:rsidRPr="00FE5044">
        <w:rPr>
          <w:rFonts w:ascii="Calibri" w:hAnsi="Calibri" w:cs="Calibri"/>
          <w:i/>
        </w:rPr>
        <w:t>Zone à défendre</w:t>
      </w:r>
      <w:r w:rsidR="00C330AE" w:rsidRPr="00FE5044">
        <w:rPr>
          <w:rFonts w:ascii="Calibri" w:hAnsi="Calibri" w:cs="Calibri"/>
        </w:rPr>
        <w:t xml:space="preserve"> (</w:t>
      </w:r>
      <w:r w:rsidR="00C330AE" w:rsidRPr="00FE5044">
        <w:rPr>
          <w:rFonts w:ascii="Calibri" w:hAnsi="Calibri" w:cs="Calibri"/>
          <w:i/>
        </w:rPr>
        <w:t>ZAD</w:t>
      </w:r>
      <w:r w:rsidR="00C330AE" w:rsidRPr="00FE5044">
        <w:rPr>
          <w:rFonts w:ascii="Calibri" w:hAnsi="Calibri" w:cs="Calibri"/>
        </w:rPr>
        <w:t xml:space="preserve">) pour 5 942 k€ </w:t>
      </w:r>
      <w:r w:rsidRPr="00FE5044">
        <w:rPr>
          <w:rFonts w:ascii="Calibri" w:hAnsi="Calibri" w:cs="Calibri"/>
        </w:rPr>
        <w:t>pour le</w:t>
      </w:r>
      <w:r w:rsidR="00C330AE" w:rsidRPr="00FE5044">
        <w:rPr>
          <w:rFonts w:ascii="Calibri" w:hAnsi="Calibri" w:cs="Calibri"/>
        </w:rPr>
        <w:t>quel CHI FOU MI a</w:t>
      </w:r>
      <w:r w:rsidR="00FE5044" w:rsidRPr="00FE5044">
        <w:rPr>
          <w:rFonts w:ascii="Calibri" w:hAnsi="Calibri" w:cs="Calibri"/>
        </w:rPr>
        <w:t>vait</w:t>
      </w:r>
      <w:r w:rsidR="00C330AE" w:rsidRPr="00FE5044">
        <w:rPr>
          <w:rFonts w:ascii="Calibri" w:hAnsi="Calibri" w:cs="Calibri"/>
        </w:rPr>
        <w:t xml:space="preserve"> été le producteur délégué pour le compte de Disney. </w:t>
      </w:r>
    </w:p>
    <w:p w14:paraId="349784ED" w14:textId="1E10B9C0" w:rsidR="001577BB" w:rsidRPr="00FE5044" w:rsidRDefault="00FE5044" w:rsidP="001B4280">
      <w:pPr>
        <w:jc w:val="both"/>
        <w:rPr>
          <w:rFonts w:ascii="Calibri" w:hAnsi="Calibri" w:cs="Calibri"/>
        </w:rPr>
      </w:pPr>
      <w:r w:rsidRPr="00FE5044">
        <w:rPr>
          <w:rFonts w:ascii="Calibri" w:hAnsi="Calibri" w:cs="Calibri"/>
        </w:rPr>
        <w:t xml:space="preserve">Pour rappel </w:t>
      </w:r>
      <w:r w:rsidR="00C330AE" w:rsidRPr="00FE5044">
        <w:rPr>
          <w:rFonts w:ascii="Calibri" w:hAnsi="Calibri" w:cs="Calibri"/>
          <w:i/>
        </w:rPr>
        <w:t>ZAD</w:t>
      </w:r>
      <w:r w:rsidR="00C330AE" w:rsidRPr="00FE5044">
        <w:rPr>
          <w:rFonts w:ascii="Calibri" w:hAnsi="Calibri" w:cs="Calibri"/>
        </w:rPr>
        <w:t xml:space="preserve"> était initialement un film avant que le projet soit abandonné et repris en vue d’une diffusion sur la plateforme Disney. S’agissant d’une </w:t>
      </w:r>
      <w:r w:rsidR="00B44E81" w:rsidRPr="00FE5044">
        <w:rPr>
          <w:rFonts w:ascii="Calibri" w:hAnsi="Calibri" w:cs="Calibri"/>
        </w:rPr>
        <w:t>sous-traitance</w:t>
      </w:r>
      <w:r w:rsidR="00C330AE" w:rsidRPr="00FE5044">
        <w:rPr>
          <w:rFonts w:ascii="Calibri" w:hAnsi="Calibri" w:cs="Calibri"/>
        </w:rPr>
        <w:t xml:space="preserve"> de production de la part de Disney à CHI FOU MI</w:t>
      </w:r>
      <w:r w:rsidR="00B44E81" w:rsidRPr="00FE5044">
        <w:rPr>
          <w:rFonts w:ascii="Calibri" w:hAnsi="Calibri" w:cs="Calibri"/>
        </w:rPr>
        <w:t xml:space="preserve">, </w:t>
      </w:r>
      <w:r w:rsidR="003E095C" w:rsidRPr="00FE5044">
        <w:rPr>
          <w:rFonts w:ascii="Calibri" w:hAnsi="Calibri" w:cs="Calibri"/>
        </w:rPr>
        <w:t>le coût</w:t>
      </w:r>
      <w:r w:rsidRPr="00FE5044">
        <w:rPr>
          <w:rFonts w:ascii="Calibri" w:hAnsi="Calibri" w:cs="Calibri"/>
        </w:rPr>
        <w:t xml:space="preserve"> du film Net pour Disney avait été de </w:t>
      </w:r>
      <w:r w:rsidR="003E095C" w:rsidRPr="00FE5044">
        <w:rPr>
          <w:rFonts w:ascii="Calibri" w:hAnsi="Calibri" w:cs="Calibri"/>
        </w:rPr>
        <w:t xml:space="preserve">5 933 k€, </w:t>
      </w:r>
      <w:r w:rsidRPr="00FE5044">
        <w:rPr>
          <w:rFonts w:ascii="Calibri" w:hAnsi="Calibri" w:cs="Calibri"/>
        </w:rPr>
        <w:t xml:space="preserve">la facturation à Walt Disney avait été </w:t>
      </w:r>
      <w:r w:rsidR="00B44E81" w:rsidRPr="00FE5044">
        <w:rPr>
          <w:rFonts w:ascii="Calibri" w:hAnsi="Calibri" w:cs="Calibri"/>
        </w:rPr>
        <w:t xml:space="preserve">d’environ 7 120 </w:t>
      </w:r>
      <w:r w:rsidR="003E095C" w:rsidRPr="00FE5044">
        <w:rPr>
          <w:rFonts w:ascii="Calibri" w:hAnsi="Calibri" w:cs="Calibri"/>
        </w:rPr>
        <w:t xml:space="preserve">k€ pour laquelle </w:t>
      </w:r>
      <w:r w:rsidR="00B44E81" w:rsidRPr="00FE5044">
        <w:rPr>
          <w:rFonts w:ascii="Calibri" w:hAnsi="Calibri" w:cs="Calibri"/>
        </w:rPr>
        <w:t xml:space="preserve">un avoir à Wald Disney de </w:t>
      </w:r>
      <w:r w:rsidR="003E095C" w:rsidRPr="00FE5044">
        <w:rPr>
          <w:rFonts w:ascii="Calibri" w:hAnsi="Calibri" w:cs="Calibri"/>
        </w:rPr>
        <w:t xml:space="preserve">1 072 </w:t>
      </w:r>
      <w:r w:rsidR="00B44E81" w:rsidRPr="00FE5044">
        <w:rPr>
          <w:rFonts w:ascii="Calibri" w:hAnsi="Calibri" w:cs="Calibri"/>
        </w:rPr>
        <w:t xml:space="preserve">k€ </w:t>
      </w:r>
      <w:r w:rsidRPr="00FE5044">
        <w:rPr>
          <w:rFonts w:ascii="Calibri" w:hAnsi="Calibri" w:cs="Calibri"/>
        </w:rPr>
        <w:t>représentai</w:t>
      </w:r>
      <w:r w:rsidR="003E095C" w:rsidRPr="00FE5044">
        <w:rPr>
          <w:rFonts w:ascii="Calibri" w:hAnsi="Calibri" w:cs="Calibri"/>
        </w:rPr>
        <w:t>t</w:t>
      </w:r>
      <w:r w:rsidR="00B44E81" w:rsidRPr="00FE5044">
        <w:rPr>
          <w:rFonts w:ascii="Calibri" w:hAnsi="Calibri" w:cs="Calibri"/>
        </w:rPr>
        <w:t xml:space="preserve"> approximativement 80% du CIA 2022 a</w:t>
      </w:r>
      <w:r w:rsidRPr="00FE5044">
        <w:rPr>
          <w:rFonts w:ascii="Calibri" w:hAnsi="Calibri" w:cs="Calibri"/>
        </w:rPr>
        <w:t>vait</w:t>
      </w:r>
      <w:r w:rsidR="00B44E81" w:rsidRPr="00FE5044">
        <w:rPr>
          <w:rFonts w:ascii="Calibri" w:hAnsi="Calibri" w:cs="Calibri"/>
        </w:rPr>
        <w:t xml:space="preserve"> été déduit</w:t>
      </w:r>
      <w:r w:rsidR="003E095C" w:rsidRPr="00FE5044">
        <w:rPr>
          <w:rFonts w:ascii="Calibri" w:hAnsi="Calibri" w:cs="Calibri"/>
        </w:rPr>
        <w:t xml:space="preserve"> par CHI FOU MI, u</w:t>
      </w:r>
      <w:r w:rsidR="00B44E81" w:rsidRPr="00FE5044">
        <w:rPr>
          <w:rFonts w:ascii="Calibri" w:hAnsi="Calibri" w:cs="Calibri"/>
        </w:rPr>
        <w:t xml:space="preserve">ne </w:t>
      </w:r>
      <w:r w:rsidR="003E095C" w:rsidRPr="00FE5044">
        <w:rPr>
          <w:rFonts w:ascii="Calibri" w:hAnsi="Calibri" w:cs="Calibri"/>
        </w:rPr>
        <w:t>régule</w:t>
      </w:r>
      <w:r w:rsidR="00B44E81" w:rsidRPr="00FE5044">
        <w:rPr>
          <w:rFonts w:ascii="Calibri" w:hAnsi="Calibri" w:cs="Calibri"/>
        </w:rPr>
        <w:t xml:space="preserve"> après paiement du CI 2023 </w:t>
      </w:r>
      <w:r w:rsidR="003E095C" w:rsidRPr="00FE5044">
        <w:rPr>
          <w:rFonts w:ascii="Calibri" w:hAnsi="Calibri" w:cs="Calibri"/>
        </w:rPr>
        <w:t>devant</w:t>
      </w:r>
      <w:r w:rsidR="00B44E81" w:rsidRPr="00FE5044">
        <w:rPr>
          <w:rFonts w:ascii="Calibri" w:hAnsi="Calibri" w:cs="Calibri"/>
        </w:rPr>
        <w:t xml:space="preserve"> </w:t>
      </w:r>
      <w:r w:rsidR="003E095C" w:rsidRPr="00FE5044">
        <w:rPr>
          <w:rFonts w:ascii="Calibri" w:hAnsi="Calibri" w:cs="Calibri"/>
        </w:rPr>
        <w:t>être réalisée pour 107 k€.</w:t>
      </w:r>
    </w:p>
    <w:p w14:paraId="33D35143" w14:textId="77777777" w:rsidR="003E095C" w:rsidRPr="003B1D37" w:rsidRDefault="003E095C" w:rsidP="001B4280">
      <w:pPr>
        <w:jc w:val="both"/>
        <w:rPr>
          <w:rFonts w:ascii="Calibri" w:hAnsi="Calibri" w:cs="Calibri"/>
        </w:rPr>
      </w:pPr>
    </w:p>
    <w:p w14:paraId="4CE15706" w14:textId="77777777" w:rsidR="00EB0529" w:rsidRPr="003B1D37" w:rsidRDefault="00EB0529" w:rsidP="001B4280">
      <w:pPr>
        <w:pStyle w:val="AuditnconclusionChapitre"/>
        <w:jc w:val="both"/>
      </w:pPr>
      <w:r w:rsidRPr="003B1D37">
        <w:t>DEROULEMENT DES CONTROLES</w:t>
      </w:r>
    </w:p>
    <w:p w14:paraId="7BD4594B" w14:textId="77777777" w:rsidR="00EB0529" w:rsidRPr="003B1D37" w:rsidRDefault="00EB0529" w:rsidP="001B4280">
      <w:pPr>
        <w:pStyle w:val="AuditnconclusionChapitre"/>
        <w:numPr>
          <w:ilvl w:val="0"/>
          <w:numId w:val="0"/>
        </w:numPr>
        <w:tabs>
          <w:tab w:val="left" w:pos="708"/>
        </w:tabs>
        <w:jc w:val="both"/>
        <w:rPr>
          <w:rFonts w:ascii="Calibri" w:hAnsi="Calibri"/>
          <w:b w:val="0"/>
          <w:i/>
          <w:sz w:val="20"/>
        </w:rPr>
      </w:pPr>
      <w:r w:rsidRPr="003B1D37">
        <w:rPr>
          <w:rFonts w:ascii="Calibri" w:hAnsi="Calibri"/>
          <w:b w:val="0"/>
          <w:i/>
          <w:sz w:val="20"/>
        </w:rPr>
        <w:t>Commentaires éventuels sur le déroulement des contrôles</w:t>
      </w:r>
    </w:p>
    <w:p w14:paraId="1853F1BB" w14:textId="058FF36D" w:rsidR="00EB0529" w:rsidRDefault="00EB0529" w:rsidP="001B4280">
      <w:pPr>
        <w:pStyle w:val="AuditnconclusionChapitre"/>
        <w:numPr>
          <w:ilvl w:val="1"/>
          <w:numId w:val="1"/>
        </w:numPr>
        <w:spacing w:before="240"/>
        <w:jc w:val="both"/>
        <w:rPr>
          <w:rFonts w:ascii="Calibri" w:hAnsi="Calibri"/>
        </w:rPr>
      </w:pPr>
      <w:r w:rsidRPr="003B1D37">
        <w:rPr>
          <w:rFonts w:ascii="Calibri" w:hAnsi="Calibri"/>
        </w:rPr>
        <w:t>Travaux réalisés </w:t>
      </w:r>
    </w:p>
    <w:p w14:paraId="7E7A55EA" w14:textId="77777777" w:rsidR="006328FB" w:rsidRPr="003B1D37" w:rsidRDefault="006328FB" w:rsidP="006328FB">
      <w:pPr>
        <w:pStyle w:val="AuditnconclusionChapitre"/>
        <w:numPr>
          <w:ilvl w:val="0"/>
          <w:numId w:val="0"/>
        </w:numPr>
        <w:spacing w:before="240"/>
        <w:ind w:left="360"/>
        <w:jc w:val="both"/>
        <w:rPr>
          <w:rFonts w:ascii="Calibri" w:hAnsi="Calibri"/>
        </w:rPr>
      </w:pPr>
    </w:p>
    <w:p w14:paraId="676D6354" w14:textId="77777777" w:rsidR="00B74729" w:rsidRPr="003B1D37" w:rsidRDefault="00B74729" w:rsidP="001B4280">
      <w:pPr>
        <w:jc w:val="both"/>
      </w:pPr>
      <w:r w:rsidRPr="003B1D37">
        <w:rPr>
          <w:b/>
          <w:bCs/>
        </w:rPr>
        <w:t>Analyse des comptes et des écritures comptables :</w:t>
      </w:r>
    </w:p>
    <w:p w14:paraId="6A8889E5" w14:textId="77777777" w:rsidR="00B74729" w:rsidRPr="003B1D37" w:rsidRDefault="00B74729" w:rsidP="001B4280">
      <w:pPr>
        <w:numPr>
          <w:ilvl w:val="1"/>
          <w:numId w:val="6"/>
        </w:numPr>
        <w:jc w:val="both"/>
      </w:pPr>
      <w:r w:rsidRPr="003B1D37">
        <w:t>Examiner les comptes comptables associés au chiffre d'affaires.</w:t>
      </w:r>
    </w:p>
    <w:p w14:paraId="131F041D" w14:textId="77777777" w:rsidR="00B74729" w:rsidRPr="003B1D37" w:rsidRDefault="00B74729" w:rsidP="001B4280">
      <w:pPr>
        <w:numPr>
          <w:ilvl w:val="1"/>
          <w:numId w:val="6"/>
        </w:numPr>
        <w:jc w:val="both"/>
      </w:pPr>
      <w:r w:rsidRPr="003B1D37">
        <w:t>Vérifier l'exactitude des écritures comptables et des comptes dans lesquels le chiffre d'affaires est enregistré.</w:t>
      </w:r>
    </w:p>
    <w:p w14:paraId="27ED91EC" w14:textId="77777777" w:rsidR="00B74729" w:rsidRPr="003B1D37" w:rsidRDefault="00B74729" w:rsidP="001B4280">
      <w:pPr>
        <w:jc w:val="both"/>
      </w:pPr>
      <w:r w:rsidRPr="003B1D37">
        <w:rPr>
          <w:b/>
          <w:bCs/>
        </w:rPr>
        <w:t>Evaluation et mesure :</w:t>
      </w:r>
    </w:p>
    <w:p w14:paraId="6003C5DA" w14:textId="77777777" w:rsidR="00B74729" w:rsidRPr="003B1D37" w:rsidRDefault="00B74729" w:rsidP="001B4280">
      <w:pPr>
        <w:numPr>
          <w:ilvl w:val="1"/>
          <w:numId w:val="6"/>
        </w:numPr>
        <w:jc w:val="both"/>
      </w:pPr>
      <w:r w:rsidRPr="003B1D37">
        <w:t>Examiner les méthodes utilisées pour évaluer le chiffre d'affaires, notamment la reconnaissance des revenus à un moment précis conformément aux normes comptables.</w:t>
      </w:r>
    </w:p>
    <w:p w14:paraId="0BCA221A" w14:textId="77777777" w:rsidR="00B74729" w:rsidRPr="003B1D37" w:rsidRDefault="00B74729" w:rsidP="001B4280">
      <w:pPr>
        <w:numPr>
          <w:ilvl w:val="1"/>
          <w:numId w:val="6"/>
        </w:numPr>
        <w:jc w:val="both"/>
      </w:pPr>
      <w:r w:rsidRPr="003B1D37">
        <w:lastRenderedPageBreak/>
        <w:t>Vérifier la cohérence des méthodes d'évaluation d'une période à l'autre.</w:t>
      </w:r>
    </w:p>
    <w:p w14:paraId="648AF41E" w14:textId="77777777" w:rsidR="00641EA8" w:rsidRPr="003B1D37" w:rsidRDefault="00641EA8" w:rsidP="001B4280">
      <w:pPr>
        <w:jc w:val="both"/>
      </w:pPr>
      <w:r w:rsidRPr="003B1D37">
        <w:rPr>
          <w:b/>
          <w:bCs/>
        </w:rPr>
        <w:t>Analyse des variations :</w:t>
      </w:r>
    </w:p>
    <w:p w14:paraId="41C41756" w14:textId="77777777" w:rsidR="00641EA8" w:rsidRPr="003B1D37" w:rsidRDefault="00641EA8" w:rsidP="001B4280">
      <w:pPr>
        <w:numPr>
          <w:ilvl w:val="1"/>
          <w:numId w:val="6"/>
        </w:numPr>
        <w:jc w:val="both"/>
      </w:pPr>
      <w:r w:rsidRPr="003B1D37">
        <w:t>Analyser les variations du chiffre d'affaires d'une période à l'autre, en identifiant et en expliquant les écarts significatifs.</w:t>
      </w:r>
    </w:p>
    <w:p w14:paraId="1AC0226D" w14:textId="77777777" w:rsidR="00641EA8" w:rsidRPr="003B1D37" w:rsidRDefault="00641EA8" w:rsidP="001B4280">
      <w:pPr>
        <w:jc w:val="both"/>
      </w:pPr>
      <w:r w:rsidRPr="003B1D37">
        <w:rPr>
          <w:b/>
          <w:bCs/>
        </w:rPr>
        <w:t>Existence :</w:t>
      </w:r>
    </w:p>
    <w:p w14:paraId="57F55D74" w14:textId="77777777" w:rsidR="00641EA8" w:rsidRPr="003B1D37" w:rsidRDefault="00641EA8" w:rsidP="001B4280">
      <w:pPr>
        <w:numPr>
          <w:ilvl w:val="1"/>
          <w:numId w:val="6"/>
        </w:numPr>
        <w:jc w:val="both"/>
      </w:pPr>
      <w:r w:rsidRPr="003B1D37">
        <w:t>Vérifier</w:t>
      </w:r>
      <w:r w:rsidR="00F41729" w:rsidRPr="003B1D37">
        <w:t xml:space="preserve"> par sondage de</w:t>
      </w:r>
      <w:r w:rsidRPr="003B1D37">
        <w:t xml:space="preserve"> l'existence des contrats de distribution, des accords de coproduction, ou d'autres documents justificatifs.</w:t>
      </w:r>
    </w:p>
    <w:p w14:paraId="7B0F0B45" w14:textId="77777777" w:rsidR="00641EA8" w:rsidRPr="003B1D37" w:rsidRDefault="00641EA8" w:rsidP="001B4280">
      <w:pPr>
        <w:jc w:val="both"/>
      </w:pPr>
      <w:r w:rsidRPr="003B1D37">
        <w:rPr>
          <w:b/>
          <w:bCs/>
        </w:rPr>
        <w:t>Exhaustivité :</w:t>
      </w:r>
    </w:p>
    <w:p w14:paraId="0B3057FF" w14:textId="77777777" w:rsidR="00641EA8" w:rsidRPr="003B1D37" w:rsidRDefault="00641EA8" w:rsidP="001B4280">
      <w:pPr>
        <w:numPr>
          <w:ilvl w:val="1"/>
          <w:numId w:val="6"/>
        </w:numPr>
        <w:jc w:val="both"/>
      </w:pPr>
      <w:r w:rsidRPr="003B1D37">
        <w:t>Confirmer que tous les revenus générés par les activités de production cinématographique ont été correct</w:t>
      </w:r>
      <w:r w:rsidR="00FF6F9B" w:rsidRPr="003B1D37">
        <w:t>ement identifiés et enregistrés, e</w:t>
      </w:r>
      <w:r w:rsidRPr="003B1D37">
        <w:t>xaminer les contrats et les sources de revenus</w:t>
      </w:r>
      <w:r w:rsidR="00F41729" w:rsidRPr="003B1D37">
        <w:t xml:space="preserve"> afin de </w:t>
      </w:r>
      <w:r w:rsidRPr="003B1D37">
        <w:t>s'assurer qu'aucun n'a été omis.</w:t>
      </w:r>
    </w:p>
    <w:p w14:paraId="58AC83EA" w14:textId="77777777" w:rsidR="00641EA8" w:rsidRPr="003B1D37" w:rsidRDefault="00641EA8" w:rsidP="001B4280">
      <w:pPr>
        <w:jc w:val="both"/>
      </w:pPr>
      <w:r w:rsidRPr="003B1D37">
        <w:rPr>
          <w:b/>
          <w:bCs/>
        </w:rPr>
        <w:t>Cut Off :</w:t>
      </w:r>
    </w:p>
    <w:p w14:paraId="6D4D7D46" w14:textId="363EF07D" w:rsidR="00641EA8" w:rsidRDefault="00641EA8" w:rsidP="001B4280">
      <w:pPr>
        <w:numPr>
          <w:ilvl w:val="1"/>
          <w:numId w:val="6"/>
        </w:numPr>
        <w:jc w:val="both"/>
      </w:pPr>
      <w:r w:rsidRPr="003B1D37">
        <w:t>Examiner les contrats pour déterminer la période de coupure appropriée.</w:t>
      </w:r>
    </w:p>
    <w:p w14:paraId="279CB644" w14:textId="77777777" w:rsidR="006328FB" w:rsidRPr="003B1D37" w:rsidRDefault="006328FB" w:rsidP="006328FB">
      <w:pPr>
        <w:ind w:left="1440"/>
        <w:jc w:val="both"/>
      </w:pPr>
    </w:p>
    <w:p w14:paraId="50CBDB64" w14:textId="77777777" w:rsidR="00EB0529" w:rsidRPr="003B1D37" w:rsidRDefault="00EB0529" w:rsidP="001B4280">
      <w:pPr>
        <w:pStyle w:val="AuditnconclusionChapitre"/>
        <w:numPr>
          <w:ilvl w:val="1"/>
          <w:numId w:val="1"/>
        </w:numPr>
        <w:spacing w:before="240"/>
        <w:jc w:val="both"/>
        <w:rPr>
          <w:rFonts w:ascii="Calibri" w:hAnsi="Calibri"/>
        </w:rPr>
      </w:pPr>
      <w:r w:rsidRPr="003B1D37">
        <w:rPr>
          <w:rFonts w:ascii="Calibri" w:hAnsi="Calibri"/>
        </w:rPr>
        <w:t>Résultat des travaux réalisés</w:t>
      </w:r>
    </w:p>
    <w:p w14:paraId="37AC79FF" w14:textId="77777777" w:rsidR="00B74729" w:rsidRPr="00175B92" w:rsidRDefault="00B74729" w:rsidP="001B4280">
      <w:pPr>
        <w:jc w:val="both"/>
      </w:pPr>
      <w:r w:rsidRPr="00175B92">
        <w:rPr>
          <w:b/>
          <w:bCs/>
        </w:rPr>
        <w:t>Analyse des comptes et des écritures comptables :</w:t>
      </w:r>
    </w:p>
    <w:p w14:paraId="6ED11056" w14:textId="77777777" w:rsidR="00B74729" w:rsidRPr="00175B92" w:rsidRDefault="00B74729" w:rsidP="001B4280">
      <w:pPr>
        <w:numPr>
          <w:ilvl w:val="1"/>
          <w:numId w:val="6"/>
        </w:numPr>
        <w:jc w:val="both"/>
      </w:pPr>
      <w:r w:rsidRPr="00175B92">
        <w:t xml:space="preserve">Chiffre d’affaires : prévente et minimum garanti </w:t>
      </w:r>
    </w:p>
    <w:p w14:paraId="656CB83D" w14:textId="77777777" w:rsidR="00B74729" w:rsidRPr="00175B92" w:rsidRDefault="00B74729" w:rsidP="001B4280">
      <w:pPr>
        <w:jc w:val="both"/>
      </w:pPr>
      <w:r w:rsidRPr="00175B92">
        <w:t xml:space="preserve">Toutes les cessions de droits sont enregistrées dans le compte de résultat au niveau du chiffre d’affaires dans une subdivision du compte 706 « Prestations de services ». </w:t>
      </w:r>
    </w:p>
    <w:p w14:paraId="16E4E5E3" w14:textId="77777777" w:rsidR="00B74729" w:rsidRPr="00175B92" w:rsidRDefault="00B74729" w:rsidP="001B4280">
      <w:pPr>
        <w:jc w:val="both"/>
      </w:pPr>
      <w:r w:rsidRPr="00175B92">
        <w:t xml:space="preserve">Il en est ainsi pour les ventes de droits télévisuels, les minimums garantis versés par les distributeurs. </w:t>
      </w:r>
    </w:p>
    <w:p w14:paraId="6653F441" w14:textId="77777777" w:rsidR="00B74729" w:rsidRDefault="00B74729" w:rsidP="001B4280">
      <w:pPr>
        <w:jc w:val="both"/>
      </w:pPr>
      <w:r w:rsidRPr="00175B92">
        <w:t>Concernant le moment de comptabilisation du chiffre d’affaires. La date de prise en compte en produit est liée à la livraison et l’acceptation du matériel par le distributeur ou le diffuseur. Pour un film cinéma, la date à prendre en compte est la date inscrite sur le visa d’exploitation et pour un film audiovisuel, le prêt à diffuser (PAD) délivré par la chaîne de télévision.</w:t>
      </w:r>
    </w:p>
    <w:p w14:paraId="3BBA789F" w14:textId="77777777" w:rsidR="00175B92" w:rsidRPr="00175B92" w:rsidRDefault="00175B92" w:rsidP="001B4280">
      <w:pPr>
        <w:jc w:val="both"/>
      </w:pPr>
    </w:p>
    <w:p w14:paraId="20735EED" w14:textId="45CBF326" w:rsidR="00F10C43" w:rsidRPr="00175B92" w:rsidRDefault="00175B92" w:rsidP="00F10C43">
      <w:pPr>
        <w:jc w:val="both"/>
      </w:pPr>
      <w:r w:rsidRPr="00175B92">
        <w:rPr>
          <w:bCs/>
        </w:rPr>
        <w:t>L’analyse des variations des comptes de classe #7 a été faite en partie 2.</w:t>
      </w:r>
    </w:p>
    <w:p w14:paraId="7B73A790" w14:textId="77777777" w:rsidR="00641EA8" w:rsidRPr="00175B92" w:rsidRDefault="00641EA8" w:rsidP="001B4280">
      <w:pPr>
        <w:jc w:val="both"/>
      </w:pPr>
      <w:r w:rsidRPr="00175B92">
        <w:rPr>
          <w:b/>
          <w:bCs/>
        </w:rPr>
        <w:t>Existence :</w:t>
      </w:r>
    </w:p>
    <w:p w14:paraId="46A8B678" w14:textId="4358AB8F" w:rsidR="005948C8" w:rsidRPr="00175B92" w:rsidRDefault="005948C8" w:rsidP="00175B92">
      <w:pPr>
        <w:numPr>
          <w:ilvl w:val="1"/>
          <w:numId w:val="6"/>
        </w:numPr>
        <w:jc w:val="both"/>
      </w:pPr>
      <w:r w:rsidRPr="00175B92">
        <w:t>Nous nous sommes assuré</w:t>
      </w:r>
      <w:r w:rsidR="00175B92">
        <w:t>s</w:t>
      </w:r>
      <w:r w:rsidRPr="00175B92">
        <w:t xml:space="preserve"> de l’existence </w:t>
      </w:r>
      <w:r w:rsidR="00641EA8" w:rsidRPr="00175B92">
        <w:t>des contrats de distributio</w:t>
      </w:r>
      <w:r w:rsidRPr="00175B92">
        <w:t>n, des accords de coproduction sur</w:t>
      </w:r>
      <w:r w:rsidR="00175B92">
        <w:t xml:space="preserve"> l’ensemble des films sortis en 2024.</w:t>
      </w:r>
    </w:p>
    <w:p w14:paraId="516CEAE4" w14:textId="77777777" w:rsidR="00641EA8" w:rsidRPr="00175B92" w:rsidRDefault="00641EA8" w:rsidP="001B4280">
      <w:pPr>
        <w:jc w:val="both"/>
      </w:pPr>
      <w:r w:rsidRPr="00175B92">
        <w:rPr>
          <w:b/>
          <w:bCs/>
        </w:rPr>
        <w:lastRenderedPageBreak/>
        <w:t>Exhaustivité :</w:t>
      </w:r>
    </w:p>
    <w:p w14:paraId="5A7C09BD" w14:textId="4C5CB22C" w:rsidR="00641EA8" w:rsidRPr="00175B92" w:rsidRDefault="005948C8" w:rsidP="001B4280">
      <w:pPr>
        <w:numPr>
          <w:ilvl w:val="1"/>
          <w:numId w:val="6"/>
        </w:numPr>
        <w:jc w:val="both"/>
      </w:pPr>
      <w:r w:rsidRPr="00175B92">
        <w:t>L</w:t>
      </w:r>
      <w:r w:rsidR="00641EA8" w:rsidRPr="00175B92">
        <w:t>es revenus générés par les activités de production cinématographique ont été correctement identifiés et enregistrés.</w:t>
      </w:r>
      <w:r w:rsidR="003B3C00" w:rsidRPr="00175B92">
        <w:t xml:space="preserve"> </w:t>
      </w:r>
    </w:p>
    <w:p w14:paraId="638E7A7D" w14:textId="77777777" w:rsidR="00641EA8" w:rsidRPr="00175B92" w:rsidRDefault="00641EA8" w:rsidP="001B4280">
      <w:pPr>
        <w:jc w:val="both"/>
      </w:pPr>
      <w:r w:rsidRPr="00175B92">
        <w:rPr>
          <w:b/>
          <w:bCs/>
        </w:rPr>
        <w:t>Evaluation et mesure :</w:t>
      </w:r>
    </w:p>
    <w:p w14:paraId="6BFDFDA6" w14:textId="77777777" w:rsidR="00C34B62" w:rsidRPr="00175B92" w:rsidRDefault="003B3C00" w:rsidP="00C34B62">
      <w:pPr>
        <w:numPr>
          <w:ilvl w:val="1"/>
          <w:numId w:val="6"/>
        </w:numPr>
        <w:jc w:val="both"/>
      </w:pPr>
      <w:r w:rsidRPr="00175B92">
        <w:t>L</w:t>
      </w:r>
      <w:r w:rsidR="00641EA8" w:rsidRPr="00175B92">
        <w:t xml:space="preserve">es méthodes utilisées pour évaluer le chiffre d'affaires, notamment la reconnaissance </w:t>
      </w:r>
      <w:r w:rsidRPr="00175B92">
        <w:t>des revenus à un moment précis sont</w:t>
      </w:r>
      <w:r w:rsidR="001B4280" w:rsidRPr="00175B92">
        <w:t xml:space="preserve"> liées aux contrats</w:t>
      </w:r>
      <w:r w:rsidRPr="00175B92">
        <w:t xml:space="preserve"> </w:t>
      </w:r>
      <w:r w:rsidR="001B4280" w:rsidRPr="00175B92">
        <w:t>détaillant le rythme de facturation suivant les étapes atteintes mentionnées dans les contrats (signature du contrat, début de tournage, …)</w:t>
      </w:r>
      <w:r w:rsidR="00641EA8" w:rsidRPr="00175B92">
        <w:t>.</w:t>
      </w:r>
    </w:p>
    <w:p w14:paraId="09F8CD42" w14:textId="09105772" w:rsidR="00641EA8" w:rsidRDefault="003B3C00" w:rsidP="001B4280">
      <w:pPr>
        <w:numPr>
          <w:ilvl w:val="1"/>
          <w:numId w:val="6"/>
        </w:numPr>
        <w:jc w:val="both"/>
      </w:pPr>
      <w:r w:rsidRPr="00175B92">
        <w:t>Nous ne constatons pas de changement dans les méthodes</w:t>
      </w:r>
      <w:r w:rsidR="00175B92" w:rsidRPr="00175B92">
        <w:t xml:space="preserve"> d'évaluation par rapport à 2023</w:t>
      </w:r>
      <w:r w:rsidR="00641EA8" w:rsidRPr="00175B92">
        <w:t>.</w:t>
      </w:r>
      <w:r w:rsidRPr="00175B92">
        <w:t xml:space="preserve"> </w:t>
      </w:r>
      <w:r w:rsidR="00175B92" w:rsidRPr="00175B92">
        <w:t xml:space="preserve">Pour rappel </w:t>
      </w:r>
      <w:r w:rsidRPr="00175B92">
        <w:t xml:space="preserve">la nouveauté </w:t>
      </w:r>
      <w:r w:rsidR="00175B92" w:rsidRPr="00175B92">
        <w:t xml:space="preserve">2023 portait sur </w:t>
      </w:r>
      <w:r w:rsidRPr="00175B92">
        <w:t>la sous-traitance en production délégué</w:t>
      </w:r>
      <w:r w:rsidR="001B4280" w:rsidRPr="00175B92">
        <w:t xml:space="preserve"> (ZAD pour Disney)</w:t>
      </w:r>
      <w:r w:rsidRPr="00175B92">
        <w:t>.</w:t>
      </w:r>
    </w:p>
    <w:p w14:paraId="52F77460" w14:textId="77777777" w:rsidR="00175B92" w:rsidRPr="00175B92" w:rsidRDefault="00175B92" w:rsidP="00175B92">
      <w:pPr>
        <w:ind w:left="1440"/>
        <w:jc w:val="both"/>
      </w:pPr>
    </w:p>
    <w:p w14:paraId="42B14C59" w14:textId="77777777" w:rsidR="00641EA8" w:rsidRPr="00CE7E93" w:rsidRDefault="00641EA8" w:rsidP="001B4280">
      <w:pPr>
        <w:jc w:val="both"/>
      </w:pPr>
      <w:r w:rsidRPr="00CE7E93">
        <w:rPr>
          <w:b/>
          <w:bCs/>
        </w:rPr>
        <w:t>Cut Off :</w:t>
      </w:r>
    </w:p>
    <w:p w14:paraId="26CACF2C" w14:textId="476BE89D" w:rsidR="001B4280" w:rsidRDefault="00A472E6" w:rsidP="001B4280">
      <w:pPr>
        <w:numPr>
          <w:ilvl w:val="1"/>
          <w:numId w:val="6"/>
        </w:numPr>
        <w:jc w:val="both"/>
      </w:pPr>
      <w:r w:rsidRPr="00A472E6">
        <w:t>Nous avons réalisé des tests de détail sur 12 opérations comptabilisées en décem</w:t>
      </w:r>
      <w:r>
        <w:t>bre 2024 en produits.</w:t>
      </w:r>
      <w:r w:rsidR="00CE7E93">
        <w:t xml:space="preserve"> </w:t>
      </w:r>
      <w:r w:rsidR="009A10D6">
        <w:t>Tests réalisés satisfaisants.</w:t>
      </w:r>
    </w:p>
    <w:p w14:paraId="2D79514E" w14:textId="37E8A39A" w:rsidR="00175B92" w:rsidRDefault="00175B92" w:rsidP="001B4280">
      <w:pPr>
        <w:numPr>
          <w:ilvl w:val="1"/>
          <w:numId w:val="6"/>
        </w:numPr>
        <w:jc w:val="both"/>
      </w:pPr>
      <w:r>
        <w:t>Nous avons réalisé des tests de détail sur 7 opérations comptabilisées en janvier 2025 en produits. Une anomalie non matérielle a été identifiée. Tests réalisés satisfais</w:t>
      </w:r>
      <w:r w:rsidR="009A10D6">
        <w:t>a</w:t>
      </w:r>
      <w:r>
        <w:t>nts.</w:t>
      </w:r>
    </w:p>
    <w:p w14:paraId="7148F1FD" w14:textId="754DFFD6" w:rsidR="006328FB" w:rsidRPr="00A472E6" w:rsidRDefault="00B4567A" w:rsidP="00592316">
      <w:pPr>
        <w:numPr>
          <w:ilvl w:val="1"/>
          <w:numId w:val="6"/>
        </w:numPr>
        <w:jc w:val="both"/>
      </w:pPr>
      <w:r>
        <w:t>Nous avons réalisé des tests de détail sur 17 opérations comptabilisées courant 2024 (hors décembre 2024). Sur la base des factures rapprochées aucune anomalie n’a été identifiée.</w:t>
      </w:r>
    </w:p>
    <w:p w14:paraId="4D7A807C" w14:textId="186BC349" w:rsidR="00641EA8" w:rsidRDefault="00A472E6" w:rsidP="001B4280">
      <w:pPr>
        <w:numPr>
          <w:ilvl w:val="1"/>
          <w:numId w:val="6"/>
        </w:numPr>
        <w:jc w:val="both"/>
      </w:pPr>
      <w:r>
        <w:t>Nous avons testé les PCA, FAE et AAE. Les principales conclusions sont présentées ci-dessous :</w:t>
      </w:r>
    </w:p>
    <w:p w14:paraId="184CA1B8" w14:textId="3A10CAFC" w:rsidR="002C2C9B" w:rsidRPr="00592316" w:rsidRDefault="00592316" w:rsidP="002C2C9B">
      <w:pPr>
        <w:numPr>
          <w:ilvl w:val="2"/>
          <w:numId w:val="6"/>
        </w:numPr>
        <w:jc w:val="both"/>
        <w:rPr>
          <w:b/>
        </w:rPr>
      </w:pPr>
      <w:r w:rsidRPr="00592316">
        <w:rPr>
          <w:b/>
        </w:rPr>
        <w:t>les PCA :</w:t>
      </w:r>
    </w:p>
    <w:p w14:paraId="2505D627" w14:textId="4973A9F3" w:rsidR="006328FB" w:rsidRDefault="002C2C9B" w:rsidP="002C2C9B">
      <w:pPr>
        <w:jc w:val="both"/>
        <w:rPr>
          <w:bCs/>
        </w:rPr>
      </w:pPr>
      <w:r w:rsidRPr="001E656A">
        <w:rPr>
          <w:noProof/>
          <w:lang w:eastAsia="fr-FR"/>
        </w:rPr>
        <w:drawing>
          <wp:inline distT="0" distB="0" distL="0" distR="0" wp14:anchorId="0711AB32" wp14:editId="0CF12F9E">
            <wp:extent cx="5760720" cy="342265"/>
            <wp:effectExtent l="0" t="0" r="0" b="63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342265"/>
                    </a:xfrm>
                    <a:prstGeom prst="rect">
                      <a:avLst/>
                    </a:prstGeom>
                    <a:noFill/>
                    <a:ln>
                      <a:noFill/>
                    </a:ln>
                  </pic:spPr>
                </pic:pic>
              </a:graphicData>
            </a:graphic>
          </wp:inline>
        </w:drawing>
      </w:r>
    </w:p>
    <w:p w14:paraId="2CFAD1C3" w14:textId="77777777" w:rsidR="00592316" w:rsidRDefault="00592316" w:rsidP="002C2C9B">
      <w:pPr>
        <w:jc w:val="both"/>
        <w:rPr>
          <w:bCs/>
        </w:rPr>
      </w:pPr>
      <w:r>
        <w:rPr>
          <w:bCs/>
        </w:rPr>
        <w:t xml:space="preserve">Les PCA augmentent de + 3,6 M€ et s’élèvent à 5,1 M€ au 31 décembre 2024. </w:t>
      </w:r>
    </w:p>
    <w:bookmarkStart w:id="4" w:name="_MON_1802630432"/>
    <w:bookmarkEnd w:id="4"/>
    <w:p w14:paraId="1BBC7E11" w14:textId="742E3D83" w:rsidR="002C2C9B" w:rsidRDefault="00592316" w:rsidP="002C2C9B">
      <w:pPr>
        <w:jc w:val="both"/>
        <w:rPr>
          <w:bCs/>
        </w:rPr>
      </w:pPr>
      <w:r>
        <w:rPr>
          <w:bCs/>
        </w:rPr>
        <w:object w:dxaOrig="6251" w:dyaOrig="5023" w14:anchorId="7DB2CB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7pt;height:214.8pt" o:ole="">
            <v:imagedata r:id="rId16" o:title=""/>
          </v:shape>
          <o:OLEObject Type="Embed" ProgID="Excel.Sheet.12" ShapeID="_x0000_i1025" DrawAspect="Content" ObjectID="_1802639706" r:id="rId17"/>
        </w:object>
      </w:r>
    </w:p>
    <w:p w14:paraId="3D616DE3" w14:textId="293D1876" w:rsidR="002C2C9B" w:rsidRDefault="002C2C9B" w:rsidP="002C2C9B">
      <w:pPr>
        <w:jc w:val="both"/>
        <w:rPr>
          <w:bCs/>
        </w:rPr>
      </w:pPr>
      <w:r>
        <w:rPr>
          <w:bCs/>
        </w:rPr>
        <w:t>Elles concernent principalement :</w:t>
      </w:r>
    </w:p>
    <w:p w14:paraId="5DC170B5" w14:textId="2C81FAA9" w:rsidR="002C2C9B" w:rsidRDefault="002C2C9B" w:rsidP="002C2C9B">
      <w:pPr>
        <w:pStyle w:val="Paragraphedeliste"/>
        <w:numPr>
          <w:ilvl w:val="0"/>
          <w:numId w:val="14"/>
        </w:numPr>
        <w:jc w:val="both"/>
        <w:rPr>
          <w:bCs/>
        </w:rPr>
      </w:pPr>
      <w:r>
        <w:rPr>
          <w:bCs/>
        </w:rPr>
        <w:t xml:space="preserve">Studio </w:t>
      </w:r>
      <w:r w:rsidRPr="00B458BE">
        <w:rPr>
          <w:bCs/>
        </w:rPr>
        <w:t xml:space="preserve">Canal </w:t>
      </w:r>
      <w:r>
        <w:rPr>
          <w:bCs/>
        </w:rPr>
        <w:t>et porte sur le film</w:t>
      </w:r>
      <w:r w:rsidRPr="00B458BE">
        <w:rPr>
          <w:bCs/>
        </w:rPr>
        <w:t xml:space="preserve"> </w:t>
      </w:r>
      <w:r w:rsidRPr="00B458BE">
        <w:rPr>
          <w:bCs/>
          <w:i/>
        </w:rPr>
        <w:t>Le Monde Qui Nous Sépare</w:t>
      </w:r>
      <w:r>
        <w:rPr>
          <w:bCs/>
        </w:rPr>
        <w:t xml:space="preserve"> pour 330 k€</w:t>
      </w:r>
      <w:r w:rsidR="00650561">
        <w:rPr>
          <w:bCs/>
        </w:rPr>
        <w:t xml:space="preserve"> ayant donné lieu à facturation sur 2024 et correspondant aux deux premières tranches </w:t>
      </w:r>
      <w:r w:rsidR="00A472E6">
        <w:rPr>
          <w:bCs/>
        </w:rPr>
        <w:t xml:space="preserve">de 55% </w:t>
      </w:r>
      <w:r w:rsidR="00650561">
        <w:rPr>
          <w:bCs/>
        </w:rPr>
        <w:t>de Minimum G</w:t>
      </w:r>
      <w:r w:rsidR="00A472E6">
        <w:rPr>
          <w:bCs/>
        </w:rPr>
        <w:t>a</w:t>
      </w:r>
      <w:r w:rsidR="00650561">
        <w:rPr>
          <w:bCs/>
        </w:rPr>
        <w:t xml:space="preserve">ranti </w:t>
      </w:r>
      <w:r w:rsidR="00A472E6">
        <w:rPr>
          <w:bCs/>
        </w:rPr>
        <w:t xml:space="preserve">(600 k€) </w:t>
      </w:r>
      <w:r w:rsidR="00650561">
        <w:rPr>
          <w:bCs/>
        </w:rPr>
        <w:t>ayant donné lieu à facturation sur 2024 ;</w:t>
      </w:r>
    </w:p>
    <w:p w14:paraId="6109731F" w14:textId="2DC0B4D3" w:rsidR="00FD513C" w:rsidRDefault="00650561" w:rsidP="002C2C9B">
      <w:pPr>
        <w:pStyle w:val="Paragraphedeliste"/>
        <w:numPr>
          <w:ilvl w:val="0"/>
          <w:numId w:val="14"/>
        </w:numPr>
        <w:jc w:val="both"/>
        <w:rPr>
          <w:bCs/>
        </w:rPr>
      </w:pPr>
      <w:r>
        <w:rPr>
          <w:bCs/>
        </w:rPr>
        <w:t xml:space="preserve">Studio Canal </w:t>
      </w:r>
      <w:r w:rsidR="002C2C9B" w:rsidRPr="00B458BE">
        <w:rPr>
          <w:bCs/>
        </w:rPr>
        <w:t>et porte</w:t>
      </w:r>
      <w:r w:rsidR="002C2C9B">
        <w:rPr>
          <w:bCs/>
        </w:rPr>
        <w:t xml:space="preserve"> sur le film</w:t>
      </w:r>
      <w:r w:rsidR="002C2C9B">
        <w:rPr>
          <w:bCs/>
          <w:i/>
        </w:rPr>
        <w:t xml:space="preserve"> </w:t>
      </w:r>
      <w:r w:rsidR="002C2C9B" w:rsidRPr="00B458BE">
        <w:rPr>
          <w:bCs/>
          <w:i/>
        </w:rPr>
        <w:t>Chien 51</w:t>
      </w:r>
      <w:r w:rsidR="002C2C9B" w:rsidRPr="00B458BE">
        <w:rPr>
          <w:bCs/>
        </w:rPr>
        <w:t xml:space="preserve"> pour 3,2</w:t>
      </w:r>
      <w:r>
        <w:rPr>
          <w:bCs/>
        </w:rPr>
        <w:t xml:space="preserve">50 </w:t>
      </w:r>
      <w:r w:rsidR="002C2C9B" w:rsidRPr="00B458BE">
        <w:rPr>
          <w:bCs/>
        </w:rPr>
        <w:t>M€</w:t>
      </w:r>
      <w:r w:rsidR="002C2C9B">
        <w:rPr>
          <w:bCs/>
        </w:rPr>
        <w:t xml:space="preserve"> correspondant </w:t>
      </w:r>
      <w:r>
        <w:rPr>
          <w:bCs/>
        </w:rPr>
        <w:t xml:space="preserve">à 50 % du Minimum Garanti </w:t>
      </w:r>
      <w:r w:rsidR="00FD513C">
        <w:rPr>
          <w:bCs/>
        </w:rPr>
        <w:t>ayant donné lieu à facturation </w:t>
      </w:r>
      <w:r>
        <w:rPr>
          <w:bCs/>
        </w:rPr>
        <w:t xml:space="preserve">sur 2024 </w:t>
      </w:r>
      <w:r w:rsidR="00FD513C">
        <w:rPr>
          <w:bCs/>
        </w:rPr>
        <w:t xml:space="preserve">et </w:t>
      </w:r>
      <w:r>
        <w:rPr>
          <w:bCs/>
        </w:rPr>
        <w:t>sont définies contractuellement ;</w:t>
      </w:r>
    </w:p>
    <w:p w14:paraId="2B37EE48" w14:textId="6212B88F" w:rsidR="002C2C9B" w:rsidRPr="00592316" w:rsidRDefault="00FD513C" w:rsidP="002C2C9B">
      <w:pPr>
        <w:pStyle w:val="Paragraphedeliste"/>
        <w:numPr>
          <w:ilvl w:val="0"/>
          <w:numId w:val="14"/>
        </w:numPr>
        <w:jc w:val="both"/>
        <w:rPr>
          <w:bCs/>
        </w:rPr>
      </w:pPr>
      <w:r w:rsidRPr="00650561">
        <w:rPr>
          <w:bCs/>
        </w:rPr>
        <w:t>Lacoste et porte sur le film</w:t>
      </w:r>
      <w:r w:rsidRPr="00650561">
        <w:rPr>
          <w:bCs/>
          <w:i/>
        </w:rPr>
        <w:t xml:space="preserve"> Chien 51</w:t>
      </w:r>
      <w:r w:rsidR="00650561" w:rsidRPr="00650561">
        <w:rPr>
          <w:bCs/>
        </w:rPr>
        <w:t xml:space="preserve"> pour 1 050</w:t>
      </w:r>
      <w:r w:rsidRPr="00650561">
        <w:rPr>
          <w:bCs/>
        </w:rPr>
        <w:t xml:space="preserve"> k€ </w:t>
      </w:r>
      <w:r w:rsidR="00650561">
        <w:rPr>
          <w:bCs/>
        </w:rPr>
        <w:t>et correspond aux deux premières tranches de Minimum Garanti de 30 % chacune ayant donné lieu à facturation sur 2024 et sont définies contractuellement ;</w:t>
      </w:r>
    </w:p>
    <w:p w14:paraId="70632699" w14:textId="159755CB" w:rsidR="002C2C9B" w:rsidRPr="00A472E6" w:rsidRDefault="002C2C9B" w:rsidP="002C2C9B">
      <w:pPr>
        <w:jc w:val="both"/>
        <w:rPr>
          <w:bCs/>
        </w:rPr>
      </w:pPr>
      <w:r w:rsidRPr="00C03456">
        <w:rPr>
          <w:bCs/>
        </w:rPr>
        <w:t>Il s'agit de films toujours en post-production en février 2025</w:t>
      </w:r>
      <w:r>
        <w:rPr>
          <w:bCs/>
        </w:rPr>
        <w:t>. Les PCA aux pourcentages contractuellement définis avec Lacoste et Studio Canal ayant fait l’objet d’une facturation et d’un paiement en décembre 2024.</w:t>
      </w:r>
    </w:p>
    <w:p w14:paraId="6F9FE30B" w14:textId="0ECBC349" w:rsidR="00E5316B" w:rsidRPr="003B1D37" w:rsidRDefault="00E5316B" w:rsidP="001B4280">
      <w:pPr>
        <w:jc w:val="both"/>
        <w:rPr>
          <w:highlight w:val="yellow"/>
        </w:rPr>
      </w:pPr>
    </w:p>
    <w:p w14:paraId="76EDBDFE" w14:textId="1125DA23" w:rsidR="00C34B62" w:rsidRDefault="00A472E6" w:rsidP="001B4280">
      <w:pPr>
        <w:jc w:val="both"/>
      </w:pPr>
      <w:r w:rsidRPr="00A472E6">
        <w:t>Pour rappel en 2023 l</w:t>
      </w:r>
      <w:r>
        <w:t>es PCA s’</w:t>
      </w:r>
      <w:r w:rsidR="00592316">
        <w:t>élevaient</w:t>
      </w:r>
      <w:r w:rsidR="00E5316B" w:rsidRPr="00A472E6">
        <w:t xml:space="preserve"> à 1 520 K€, nous av</w:t>
      </w:r>
      <w:r>
        <w:t>i</w:t>
      </w:r>
      <w:r w:rsidR="00E5316B" w:rsidRPr="00A472E6">
        <w:t xml:space="preserve">ons contrôlé 1.307 K€ portant sur les PCA </w:t>
      </w:r>
      <w:r w:rsidR="00D57F6E" w:rsidRPr="00A472E6">
        <w:t xml:space="preserve">hors PCA CIC par retour aux factures et aux contrats. Aucune anomalie relevée, satisfaisant. </w:t>
      </w:r>
      <w:r>
        <w:t>Les PCA liés au CIC avaient</w:t>
      </w:r>
      <w:r w:rsidR="007A24D0" w:rsidRPr="00A472E6">
        <w:t xml:space="preserve"> été contrôlé</w:t>
      </w:r>
      <w:r>
        <w:t>es</w:t>
      </w:r>
      <w:r w:rsidR="007A24D0" w:rsidRPr="00A472E6">
        <w:t xml:space="preserve"> lors des contrôles CIC ; sondage sur les CIC portant sur </w:t>
      </w:r>
      <w:r w:rsidR="007A24D0" w:rsidRPr="00592316">
        <w:rPr>
          <w:b/>
          <w:i/>
        </w:rPr>
        <w:t>Coul</w:t>
      </w:r>
      <w:r w:rsidR="007A24D0" w:rsidRPr="00A472E6">
        <w:t xml:space="preserve">, </w:t>
      </w:r>
      <w:r w:rsidR="007A24D0" w:rsidRPr="00592316">
        <w:rPr>
          <w:b/>
          <w:i/>
        </w:rPr>
        <w:t>Allianc</w:t>
      </w:r>
      <w:r w:rsidR="00592316">
        <w:rPr>
          <w:b/>
          <w:i/>
        </w:rPr>
        <w:t>e</w:t>
      </w:r>
      <w:r w:rsidR="007A24D0" w:rsidRPr="00A472E6">
        <w:t xml:space="preserve"> et </w:t>
      </w:r>
      <w:r w:rsidR="007A24D0" w:rsidRPr="00592316">
        <w:rPr>
          <w:b/>
          <w:i/>
        </w:rPr>
        <w:t>Braces</w:t>
      </w:r>
      <w:r w:rsidR="007A24D0" w:rsidRPr="00A472E6">
        <w:t>. Pas d’anomalie relevée. Les autres</w:t>
      </w:r>
      <w:r>
        <w:t xml:space="preserve"> sondages sur les PCA qui concernaient</w:t>
      </w:r>
      <w:r w:rsidR="007A24D0" w:rsidRPr="00A472E6">
        <w:t xml:space="preserve"> </w:t>
      </w:r>
      <w:r w:rsidR="007A24D0" w:rsidRPr="00592316">
        <w:rPr>
          <w:b/>
          <w:i/>
        </w:rPr>
        <w:t>Ni Chaines ni Ma</w:t>
      </w:r>
      <w:r w:rsidRPr="00592316">
        <w:rPr>
          <w:b/>
          <w:i/>
        </w:rPr>
        <w:t>îtres</w:t>
      </w:r>
      <w:r>
        <w:t xml:space="preserve">, </w:t>
      </w:r>
      <w:r w:rsidRPr="00592316">
        <w:rPr>
          <w:b/>
          <w:i/>
        </w:rPr>
        <w:t>Pharaon</w:t>
      </w:r>
      <w:r>
        <w:t xml:space="preserve"> et </w:t>
      </w:r>
      <w:r w:rsidR="00592316" w:rsidRPr="00592316">
        <w:rPr>
          <w:b/>
          <w:i/>
        </w:rPr>
        <w:t>Le Royaume</w:t>
      </w:r>
      <w:r>
        <w:t xml:space="preserve"> étaient satisfaisants. Il s'agissait</w:t>
      </w:r>
      <w:r w:rsidR="007A24D0" w:rsidRPr="00A472E6">
        <w:t xml:space="preserve"> de films toujours en post-production en février 2024.</w:t>
      </w:r>
    </w:p>
    <w:p w14:paraId="1B080B6D" w14:textId="3596378E" w:rsidR="00A472E6" w:rsidRPr="00592316" w:rsidRDefault="00592316" w:rsidP="001B4280">
      <w:pPr>
        <w:numPr>
          <w:ilvl w:val="2"/>
          <w:numId w:val="6"/>
        </w:numPr>
        <w:jc w:val="both"/>
        <w:rPr>
          <w:b/>
        </w:rPr>
      </w:pPr>
      <w:r w:rsidRPr="00592316">
        <w:rPr>
          <w:b/>
        </w:rPr>
        <w:t>les FAE :</w:t>
      </w:r>
    </w:p>
    <w:p w14:paraId="0F81812F" w14:textId="77777777" w:rsidR="002C2C9B" w:rsidRDefault="002C2C9B" w:rsidP="002C2C9B">
      <w:pPr>
        <w:jc w:val="both"/>
        <w:rPr>
          <w:rFonts w:ascii="Calibri" w:hAnsi="Calibri" w:cs="Calibri"/>
        </w:rPr>
      </w:pPr>
      <w:r>
        <w:rPr>
          <w:rFonts w:ascii="Calibri" w:hAnsi="Calibri" w:cs="Calibri"/>
        </w:rPr>
        <w:t>Les FAE sont en augmentation de + 1 109 k€ par rapport au 31 décembre 2023 et s’élèvent à 2 255 k€ :</w:t>
      </w:r>
    </w:p>
    <w:p w14:paraId="7645ABA8" w14:textId="0D397836" w:rsidR="002C2C9B" w:rsidRDefault="002C2C9B" w:rsidP="002C2C9B">
      <w:pPr>
        <w:jc w:val="both"/>
        <w:rPr>
          <w:rFonts w:ascii="Calibri" w:hAnsi="Calibri" w:cs="Calibri"/>
        </w:rPr>
      </w:pPr>
      <w:r>
        <w:rPr>
          <w:noProof/>
          <w:lang w:eastAsia="fr-FR"/>
        </w:rPr>
        <w:lastRenderedPageBreak/>
        <w:drawing>
          <wp:inline distT="0" distB="0" distL="0" distR="0" wp14:anchorId="6CBFCDFC" wp14:editId="154E2E5E">
            <wp:extent cx="5760720" cy="436245"/>
            <wp:effectExtent l="0" t="0" r="0" b="190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60720" cy="436245"/>
                    </a:xfrm>
                    <a:prstGeom prst="rect">
                      <a:avLst/>
                    </a:prstGeom>
                  </pic:spPr>
                </pic:pic>
              </a:graphicData>
            </a:graphic>
          </wp:inline>
        </w:drawing>
      </w:r>
    </w:p>
    <w:p w14:paraId="70C55C1F" w14:textId="66DE3A00" w:rsidR="00C42D88" w:rsidRDefault="00C42D88" w:rsidP="002C2C9B">
      <w:pPr>
        <w:jc w:val="both"/>
        <w:rPr>
          <w:rFonts w:ascii="Calibri" w:hAnsi="Calibri" w:cs="Calibri"/>
        </w:rPr>
      </w:pPr>
      <w:r w:rsidRPr="00C42D88">
        <w:rPr>
          <w:noProof/>
          <w:lang w:eastAsia="fr-FR"/>
        </w:rPr>
        <w:drawing>
          <wp:inline distT="0" distB="0" distL="0" distR="0" wp14:anchorId="21945C2E" wp14:editId="1B3CE9E7">
            <wp:extent cx="4754880" cy="3175424"/>
            <wp:effectExtent l="0" t="0" r="762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58130" cy="3177594"/>
                    </a:xfrm>
                    <a:prstGeom prst="rect">
                      <a:avLst/>
                    </a:prstGeom>
                    <a:noFill/>
                    <a:ln>
                      <a:noFill/>
                    </a:ln>
                  </pic:spPr>
                </pic:pic>
              </a:graphicData>
            </a:graphic>
          </wp:inline>
        </w:drawing>
      </w:r>
    </w:p>
    <w:p w14:paraId="69D74616" w14:textId="77777777" w:rsidR="002C2C9B" w:rsidRDefault="002C2C9B" w:rsidP="002C2C9B">
      <w:pPr>
        <w:jc w:val="both"/>
        <w:rPr>
          <w:rFonts w:ascii="Calibri" w:hAnsi="Calibri" w:cs="Calibri"/>
        </w:rPr>
      </w:pPr>
      <w:r>
        <w:rPr>
          <w:rFonts w:ascii="Calibri" w:hAnsi="Calibri" w:cs="Calibri"/>
        </w:rPr>
        <w:t>Elles se composent principalement des FAE suivantes :</w:t>
      </w:r>
    </w:p>
    <w:p w14:paraId="02A8B627" w14:textId="77777777" w:rsidR="002C2C9B" w:rsidRDefault="002C2C9B" w:rsidP="002C2C9B">
      <w:pPr>
        <w:pStyle w:val="Paragraphedeliste"/>
        <w:numPr>
          <w:ilvl w:val="0"/>
          <w:numId w:val="15"/>
        </w:numPr>
        <w:jc w:val="both"/>
        <w:rPr>
          <w:rFonts w:ascii="Calibri" w:hAnsi="Calibri" w:cs="Calibri"/>
        </w:rPr>
      </w:pPr>
      <w:r>
        <w:rPr>
          <w:rFonts w:ascii="Calibri" w:hAnsi="Calibri" w:cs="Calibri"/>
        </w:rPr>
        <w:t xml:space="preserve">FAE portant sur les Recettes Nettes part producteur d’Apollo Distributions portant sur le film </w:t>
      </w:r>
      <w:r w:rsidRPr="00C42D88">
        <w:rPr>
          <w:rFonts w:ascii="Calibri" w:hAnsi="Calibri" w:cs="Calibri"/>
          <w:b/>
          <w:i/>
        </w:rPr>
        <w:t>Golo &amp; Ritchie</w:t>
      </w:r>
      <w:r>
        <w:rPr>
          <w:rFonts w:ascii="Calibri" w:hAnsi="Calibri" w:cs="Calibri"/>
        </w:rPr>
        <w:t xml:space="preserve"> pour 963 k€ TTC ;</w:t>
      </w:r>
    </w:p>
    <w:p w14:paraId="1D60A8D2" w14:textId="77777777" w:rsidR="002C2C9B" w:rsidRDefault="002C2C9B" w:rsidP="002C2C9B">
      <w:pPr>
        <w:pStyle w:val="Paragraphedeliste"/>
        <w:numPr>
          <w:ilvl w:val="0"/>
          <w:numId w:val="15"/>
        </w:numPr>
        <w:jc w:val="both"/>
        <w:rPr>
          <w:rFonts w:ascii="Calibri" w:hAnsi="Calibri" w:cs="Calibri"/>
        </w:rPr>
      </w:pPr>
      <w:r>
        <w:rPr>
          <w:rFonts w:ascii="Calibri" w:hAnsi="Calibri" w:cs="Calibri"/>
        </w:rPr>
        <w:t xml:space="preserve">FAE portant sur les droits de diffusion télévisuelle sur Arte portant sur les droits TV du film </w:t>
      </w:r>
      <w:r w:rsidRPr="00C42D88">
        <w:rPr>
          <w:rFonts w:ascii="Calibri" w:hAnsi="Calibri" w:cs="Calibri"/>
          <w:b/>
          <w:i/>
        </w:rPr>
        <w:t>L’avant dernière séance</w:t>
      </w:r>
      <w:r>
        <w:rPr>
          <w:rFonts w:ascii="Calibri" w:hAnsi="Calibri" w:cs="Calibri"/>
        </w:rPr>
        <w:t xml:space="preserve"> pour 165 k€ TTC ;</w:t>
      </w:r>
    </w:p>
    <w:p w14:paraId="2039520A" w14:textId="77777777" w:rsidR="002C2C9B" w:rsidRDefault="002C2C9B" w:rsidP="002C2C9B">
      <w:pPr>
        <w:pStyle w:val="Paragraphedeliste"/>
        <w:numPr>
          <w:ilvl w:val="0"/>
          <w:numId w:val="15"/>
        </w:numPr>
        <w:jc w:val="both"/>
        <w:rPr>
          <w:rFonts w:ascii="Calibri" w:hAnsi="Calibri" w:cs="Calibri"/>
        </w:rPr>
      </w:pPr>
      <w:r>
        <w:rPr>
          <w:rFonts w:ascii="Calibri" w:hAnsi="Calibri" w:cs="Calibri"/>
        </w:rPr>
        <w:t xml:space="preserve">FAE portant sur les droits TV sur Canal+ du film </w:t>
      </w:r>
      <w:r w:rsidRPr="00C42D88">
        <w:rPr>
          <w:rFonts w:ascii="Calibri" w:hAnsi="Calibri" w:cs="Calibri"/>
          <w:b/>
          <w:i/>
        </w:rPr>
        <w:t>L’échappée</w:t>
      </w:r>
      <w:r w:rsidRPr="00EA2E70">
        <w:rPr>
          <w:rFonts w:ascii="Calibri" w:hAnsi="Calibri" w:cs="Calibri"/>
          <w:i/>
        </w:rPr>
        <w:t xml:space="preserve"> </w:t>
      </w:r>
      <w:r>
        <w:rPr>
          <w:rFonts w:ascii="Calibri" w:hAnsi="Calibri" w:cs="Calibri"/>
        </w:rPr>
        <w:t>pour 547 k€ TTC ;</w:t>
      </w:r>
    </w:p>
    <w:p w14:paraId="520D1AA1" w14:textId="7EEE26D2" w:rsidR="002C2C9B" w:rsidRDefault="002C2C9B" w:rsidP="002C2C9B">
      <w:pPr>
        <w:pStyle w:val="Paragraphedeliste"/>
        <w:numPr>
          <w:ilvl w:val="0"/>
          <w:numId w:val="15"/>
        </w:numPr>
        <w:jc w:val="both"/>
        <w:rPr>
          <w:rFonts w:ascii="Calibri" w:hAnsi="Calibri" w:cs="Calibri"/>
        </w:rPr>
      </w:pPr>
      <w:r>
        <w:rPr>
          <w:rFonts w:ascii="Calibri" w:hAnsi="Calibri" w:cs="Calibri"/>
        </w:rPr>
        <w:t xml:space="preserve">FAE portant sur la dernière tranche de minimum garanti (5% sur 3 M€) tel que défini dans le contrat de licence avec Warner Bross portant sur le film </w:t>
      </w:r>
      <w:r w:rsidR="00C42D88">
        <w:rPr>
          <w:rFonts w:ascii="Calibri" w:hAnsi="Calibri" w:cs="Calibri"/>
          <w:b/>
          <w:i/>
        </w:rPr>
        <w:t>Leurs</w:t>
      </w:r>
      <w:r w:rsidRPr="00C42D88">
        <w:rPr>
          <w:rFonts w:ascii="Calibri" w:hAnsi="Calibri" w:cs="Calibri"/>
          <w:b/>
          <w:i/>
        </w:rPr>
        <w:t xml:space="preserve"> Enfants</w:t>
      </w:r>
      <w:r w:rsidR="00C42D88">
        <w:rPr>
          <w:rFonts w:ascii="Calibri" w:hAnsi="Calibri" w:cs="Calibri"/>
          <w:b/>
          <w:i/>
        </w:rPr>
        <w:t xml:space="preserve"> après eux</w:t>
      </w:r>
      <w:r w:rsidRPr="003A7497">
        <w:rPr>
          <w:rFonts w:ascii="Calibri" w:hAnsi="Calibri" w:cs="Calibri"/>
          <w:i/>
        </w:rPr>
        <w:t xml:space="preserve"> </w:t>
      </w:r>
      <w:r>
        <w:rPr>
          <w:rFonts w:ascii="Calibri" w:hAnsi="Calibri" w:cs="Calibri"/>
        </w:rPr>
        <w:t>pour 165 k€ TTC ;</w:t>
      </w:r>
    </w:p>
    <w:p w14:paraId="5BC379E3" w14:textId="77777777" w:rsidR="002C2C9B" w:rsidRDefault="002C2C9B" w:rsidP="002C2C9B">
      <w:pPr>
        <w:pStyle w:val="Paragraphedeliste"/>
        <w:numPr>
          <w:ilvl w:val="0"/>
          <w:numId w:val="15"/>
        </w:numPr>
        <w:jc w:val="both"/>
        <w:rPr>
          <w:rFonts w:ascii="Calibri" w:hAnsi="Calibri" w:cs="Calibri"/>
        </w:rPr>
      </w:pPr>
      <w:r>
        <w:rPr>
          <w:rFonts w:ascii="Calibri" w:hAnsi="Calibri" w:cs="Calibri"/>
        </w:rPr>
        <w:t xml:space="preserve">FAE portant sur un complément de prix avec Netflix tel que défini dans le contrat de licence du d’octobre 2023 portant sur le film </w:t>
      </w:r>
      <w:r w:rsidRPr="00C42D88">
        <w:rPr>
          <w:rFonts w:ascii="Calibri" w:hAnsi="Calibri" w:cs="Calibri"/>
          <w:b/>
          <w:i/>
        </w:rPr>
        <w:t>Les Nouveaux Riches</w:t>
      </w:r>
      <w:r>
        <w:rPr>
          <w:rFonts w:ascii="Calibri" w:hAnsi="Calibri" w:cs="Calibri"/>
        </w:rPr>
        <w:t xml:space="preserve"> pour 220 k€ TTC.</w:t>
      </w:r>
    </w:p>
    <w:p w14:paraId="7527ECC7" w14:textId="77777777" w:rsidR="002C2C9B" w:rsidRDefault="002C2C9B" w:rsidP="002C2C9B">
      <w:pPr>
        <w:jc w:val="both"/>
        <w:rPr>
          <w:rFonts w:ascii="Calibri" w:hAnsi="Calibri" w:cs="Calibri"/>
        </w:rPr>
      </w:pPr>
    </w:p>
    <w:p w14:paraId="17B37D0A" w14:textId="77777777" w:rsidR="002C2C9B" w:rsidRPr="002C2C9B" w:rsidRDefault="002C2C9B" w:rsidP="002C2C9B">
      <w:pPr>
        <w:jc w:val="both"/>
        <w:rPr>
          <w:rFonts w:ascii="Calibri" w:hAnsi="Calibri" w:cs="Calibri"/>
        </w:rPr>
      </w:pPr>
      <w:r w:rsidRPr="002C2C9B">
        <w:rPr>
          <w:rFonts w:ascii="Calibri" w:hAnsi="Calibri" w:cs="Calibri"/>
        </w:rPr>
        <w:t xml:space="preserve">Pour rappel </w:t>
      </w:r>
      <w:r w:rsidRPr="002C2C9B">
        <w:t xml:space="preserve">les FAE </w:t>
      </w:r>
      <w:r>
        <w:t>s'éle</w:t>
      </w:r>
      <w:r w:rsidRPr="002C2C9B">
        <w:t>vaient à 1 146 K€ au 31/12/2023</w:t>
      </w:r>
      <w:r>
        <w:t>, elles se composaient</w:t>
      </w:r>
      <w:r w:rsidRPr="002C2C9B">
        <w:t xml:space="preserve"> essentiellement des FAE portant sur : </w:t>
      </w:r>
    </w:p>
    <w:p w14:paraId="5BD0AE17" w14:textId="34066885" w:rsidR="002C2C9B" w:rsidRPr="002C2C9B" w:rsidRDefault="002C2C9B" w:rsidP="002C2C9B">
      <w:pPr>
        <w:pStyle w:val="Paragraphedeliste"/>
        <w:numPr>
          <w:ilvl w:val="0"/>
          <w:numId w:val="9"/>
        </w:numPr>
        <w:jc w:val="both"/>
      </w:pPr>
      <w:r w:rsidRPr="002C2C9B">
        <w:t xml:space="preserve">Les droits TV </w:t>
      </w:r>
      <w:r w:rsidR="00C42D88" w:rsidRPr="00C42D88">
        <w:rPr>
          <w:b/>
          <w:i/>
        </w:rPr>
        <w:t>L’</w:t>
      </w:r>
      <w:r w:rsidRPr="00C42D88">
        <w:rPr>
          <w:b/>
          <w:i/>
        </w:rPr>
        <w:t>Échappée</w:t>
      </w:r>
      <w:r w:rsidRPr="00C42D88">
        <w:rPr>
          <w:b/>
        </w:rPr>
        <w:t xml:space="preserve"> </w:t>
      </w:r>
      <w:r w:rsidR="00C42D88">
        <w:t xml:space="preserve">Studio Canal pour 545 k€ et </w:t>
      </w:r>
      <w:r w:rsidRPr="002C2C9B">
        <w:t>Ciné+ pour 78 k€ : les droits TV liés au film Echappée 628 k€ TTC soit 571 k€ HT. L</w:t>
      </w:r>
      <w:r w:rsidRPr="002C2C9B">
        <w:rPr>
          <w:i/>
        </w:rPr>
        <w:t>'Échappée</w:t>
      </w:r>
      <w:r w:rsidRPr="002C2C9B">
        <w:t xml:space="preserve"> est un film français réalisé par Mathias Pardo, sorti en 2019. Il s'agit du premier long métrage du réalisateur. Il n’est jamais sorti au </w:t>
      </w:r>
      <w:r w:rsidRPr="002C2C9B">
        <w:lastRenderedPageBreak/>
        <w:t xml:space="preserve">cinéma étant précisé que le film n'est toujours pas sorti au cinéma faute de distributeur.  Soulignons que la valeur nette comptable du Film est nulle par voie d'amortissement et dépréciation d'un 1 M€. </w:t>
      </w:r>
    </w:p>
    <w:p w14:paraId="6FB390CE" w14:textId="77777777" w:rsidR="002C2C9B" w:rsidRPr="002C2C9B" w:rsidRDefault="002C2C9B" w:rsidP="002C2C9B">
      <w:pPr>
        <w:pStyle w:val="Paragraphedeliste"/>
        <w:numPr>
          <w:ilvl w:val="0"/>
          <w:numId w:val="9"/>
        </w:numPr>
        <w:jc w:val="both"/>
      </w:pPr>
      <w:r w:rsidRPr="002C2C9B">
        <w:t xml:space="preserve">FAE Netflix complémentaires sur </w:t>
      </w:r>
      <w:r w:rsidRPr="00C42D88">
        <w:rPr>
          <w:b/>
          <w:i/>
        </w:rPr>
        <w:t>Nouveaux Riches</w:t>
      </w:r>
      <w:r w:rsidRPr="002C2C9B">
        <w:t xml:space="preserve"> pour 220 k€ </w:t>
      </w:r>
    </w:p>
    <w:p w14:paraId="56C7109E" w14:textId="7CAC8E55" w:rsidR="002C2C9B" w:rsidRPr="002C2C9B" w:rsidRDefault="002C2C9B" w:rsidP="002C2C9B">
      <w:pPr>
        <w:pStyle w:val="Paragraphedeliste"/>
        <w:numPr>
          <w:ilvl w:val="0"/>
          <w:numId w:val="9"/>
        </w:numPr>
        <w:jc w:val="both"/>
      </w:pPr>
      <w:r w:rsidRPr="002C2C9B">
        <w:t>FAE au Trésor Film (Refacturation frais sur</w:t>
      </w:r>
      <w:r w:rsidRPr="00C42D88">
        <w:rPr>
          <w:b/>
        </w:rPr>
        <w:t xml:space="preserve"> </w:t>
      </w:r>
      <w:r w:rsidRPr="00C42D88">
        <w:rPr>
          <w:b/>
          <w:i/>
        </w:rPr>
        <w:t>Amour</w:t>
      </w:r>
      <w:r w:rsidR="00C42D88" w:rsidRPr="00C42D88">
        <w:rPr>
          <w:b/>
          <w:i/>
        </w:rPr>
        <w:t xml:space="preserve"> Ouf</w:t>
      </w:r>
      <w:r w:rsidRPr="002C2C9B">
        <w:t>) pour 180 k€</w:t>
      </w:r>
      <w:r w:rsidRPr="002C2C9B">
        <w:tab/>
      </w:r>
      <w:r w:rsidRPr="002C2C9B">
        <w:tab/>
      </w:r>
    </w:p>
    <w:p w14:paraId="2DD558E3" w14:textId="6643FBF0" w:rsidR="002C2C9B" w:rsidRDefault="00A472E6" w:rsidP="002C2C9B">
      <w:pPr>
        <w:jc w:val="both"/>
      </w:pPr>
      <w:r>
        <w:t>En 2023 n</w:t>
      </w:r>
      <w:r w:rsidR="002C2C9B" w:rsidRPr="002C2C9B">
        <w:t>ous constat</w:t>
      </w:r>
      <w:r w:rsidR="002C2C9B">
        <w:t>i</w:t>
      </w:r>
      <w:r w:rsidR="002C2C9B" w:rsidRPr="002C2C9B">
        <w:t xml:space="preserve">ons une FAE non comptabilisée à la clôture </w:t>
      </w:r>
      <w:r w:rsidR="002C2C9B">
        <w:t xml:space="preserve">2023 </w:t>
      </w:r>
      <w:r w:rsidR="002C2C9B" w:rsidRPr="002C2C9B">
        <w:t>portant sur les recettes de « Novembre » pour 151 K€. Idem en N-1, l’ajustement n’a pas été comptabilisé, jugé N/S au niveau de l’impact sur l’exercice.</w:t>
      </w:r>
    </w:p>
    <w:p w14:paraId="03B10696" w14:textId="04126E0D" w:rsidR="00A472E6" w:rsidRPr="00592316" w:rsidRDefault="00592316" w:rsidP="002C2C9B">
      <w:pPr>
        <w:numPr>
          <w:ilvl w:val="2"/>
          <w:numId w:val="6"/>
        </w:numPr>
        <w:jc w:val="both"/>
        <w:rPr>
          <w:b/>
        </w:rPr>
      </w:pPr>
      <w:r w:rsidRPr="00592316">
        <w:rPr>
          <w:b/>
        </w:rPr>
        <w:t xml:space="preserve">les </w:t>
      </w:r>
      <w:r>
        <w:rPr>
          <w:b/>
        </w:rPr>
        <w:t>A</w:t>
      </w:r>
      <w:r w:rsidRPr="00592316">
        <w:rPr>
          <w:b/>
        </w:rPr>
        <w:t>A</w:t>
      </w:r>
      <w:r>
        <w:rPr>
          <w:b/>
        </w:rPr>
        <w:t>E</w:t>
      </w:r>
      <w:r w:rsidRPr="00592316">
        <w:rPr>
          <w:b/>
        </w:rPr>
        <w:t> :</w:t>
      </w:r>
    </w:p>
    <w:p w14:paraId="58B31EF7" w14:textId="258DBA33" w:rsidR="00A472E6" w:rsidRPr="00DC47E6" w:rsidRDefault="00A472E6" w:rsidP="00A472E6">
      <w:pPr>
        <w:jc w:val="both"/>
      </w:pPr>
      <w:r>
        <w:t>Absence d’AAE comptabilisées au 31 décembre 2024. Cependant e</w:t>
      </w:r>
      <w:r w:rsidRPr="00DC47E6">
        <w:t xml:space="preserve">n décembre 2024 une facture </w:t>
      </w:r>
      <w:r>
        <w:t xml:space="preserve">Discovery </w:t>
      </w:r>
      <w:r w:rsidRPr="00DC47E6">
        <w:t>de 1 M€ a été comptabilisée mais</w:t>
      </w:r>
      <w:r>
        <w:t xml:space="preserve"> concernait HBO Nordic AB</w:t>
      </w:r>
      <w:r w:rsidRPr="00DC47E6">
        <w:t xml:space="preserve">. Un avoir </w:t>
      </w:r>
      <w:r>
        <w:t xml:space="preserve">correctif </w:t>
      </w:r>
      <w:r w:rsidRPr="00DC47E6">
        <w:t xml:space="preserve">a donc été établi à destination de Discovery </w:t>
      </w:r>
      <w:r>
        <w:t xml:space="preserve">mais </w:t>
      </w:r>
      <w:r w:rsidRPr="00DC47E6">
        <w:t xml:space="preserve">en date du 30 janvier 2025, et </w:t>
      </w:r>
      <w:r>
        <w:t>la une nouvelle facture a été émise</w:t>
      </w:r>
      <w:r w:rsidRPr="00DC47E6">
        <w:t xml:space="preserve"> pour 1 M€ à HBO </w:t>
      </w:r>
      <w:r>
        <w:t xml:space="preserve">également </w:t>
      </w:r>
      <w:r w:rsidRPr="00DC47E6">
        <w:t xml:space="preserve">en date du 30 janvier 2025. </w:t>
      </w:r>
    </w:p>
    <w:p w14:paraId="6AB7C2F8" w14:textId="77777777" w:rsidR="00A472E6" w:rsidRPr="00DC47E6" w:rsidRDefault="00A472E6" w:rsidP="00A472E6">
      <w:pPr>
        <w:jc w:val="both"/>
      </w:pPr>
      <w:r w:rsidRPr="00DC47E6">
        <w:t>Au 31 décembre 2024 un AAE aurait dû être comptabilisé pour annuler la facture à destination de Discovery et une FAE aurait dû être comptabilisée à destination de HBO pour 1 M€ chacun. Pas d’impact résultat sur les comptes au 31 décembre 2024.</w:t>
      </w:r>
    </w:p>
    <w:p w14:paraId="26BF8ABF" w14:textId="77777777" w:rsidR="00A472E6" w:rsidRPr="00DC47E6" w:rsidRDefault="00A472E6" w:rsidP="00A472E6">
      <w:pPr>
        <w:jc w:val="both"/>
      </w:pPr>
      <w:r w:rsidRPr="00DC47E6">
        <w:t xml:space="preserve">Pour rappel </w:t>
      </w:r>
      <w:r>
        <w:t xml:space="preserve">en 2023, </w:t>
      </w:r>
      <w:r w:rsidRPr="00DC47E6">
        <w:t xml:space="preserve">les AAE s’élevaient à 107 k€ et concernaient exclusivement un Avoir à établir à Walt Disney (qui sera établie en 2024/ après paiement CIA 2023) sur le film </w:t>
      </w:r>
      <w:r w:rsidRPr="00DC47E6">
        <w:rPr>
          <w:i/>
        </w:rPr>
        <w:t>« </w:t>
      </w:r>
      <w:r w:rsidRPr="00C42D88">
        <w:rPr>
          <w:b/>
          <w:i/>
        </w:rPr>
        <w:t>Zone a défendre</w:t>
      </w:r>
      <w:r w:rsidRPr="00DC47E6">
        <w:rPr>
          <w:i/>
        </w:rPr>
        <w:t> » (ZAD)</w:t>
      </w:r>
      <w:r w:rsidRPr="00DC47E6">
        <w:t xml:space="preserve"> pour lequel la société CHI FOU MI est producteur délégué.</w:t>
      </w:r>
    </w:p>
    <w:p w14:paraId="5790B5B0" w14:textId="77777777" w:rsidR="00ED0E57" w:rsidRDefault="00ED0E57" w:rsidP="00960EA9">
      <w:pPr>
        <w:jc w:val="both"/>
        <w:rPr>
          <w:b/>
          <w:bCs/>
        </w:rPr>
      </w:pPr>
    </w:p>
    <w:p w14:paraId="7551BD95" w14:textId="0D60D9D0" w:rsidR="00960EA9" w:rsidRDefault="00960EA9" w:rsidP="00960EA9">
      <w:pPr>
        <w:jc w:val="both"/>
        <w:rPr>
          <w:b/>
          <w:bCs/>
        </w:rPr>
      </w:pPr>
      <w:r>
        <w:rPr>
          <w:b/>
          <w:bCs/>
        </w:rPr>
        <w:t>Analyse soldes Clients</w:t>
      </w:r>
      <w:r w:rsidRPr="00CE7E93">
        <w:rPr>
          <w:b/>
          <w:bCs/>
        </w:rPr>
        <w:t xml:space="preserve"> :</w:t>
      </w:r>
    </w:p>
    <w:p w14:paraId="39CC2821" w14:textId="234131BB" w:rsidR="00960EA9" w:rsidRDefault="00960EA9" w:rsidP="00960EA9">
      <w:pPr>
        <w:jc w:val="both"/>
        <w:rPr>
          <w:bCs/>
        </w:rPr>
      </w:pPr>
      <w:r w:rsidRPr="00960EA9">
        <w:rPr>
          <w:bCs/>
        </w:rPr>
        <w:t xml:space="preserve">Circularisation de 5 Clients représentant  </w:t>
      </w:r>
      <w:r w:rsidR="00DC13F3">
        <w:rPr>
          <w:bCs/>
        </w:rPr>
        <w:t xml:space="preserve">  </w:t>
      </w:r>
      <w:r w:rsidRPr="00960EA9">
        <w:rPr>
          <w:bCs/>
        </w:rPr>
        <w:t>du solde Client.</w:t>
      </w:r>
    </w:p>
    <w:p w14:paraId="16BF1DAF" w14:textId="7AD4ADA3" w:rsidR="00960EA9" w:rsidRDefault="00960EA9" w:rsidP="00960EA9">
      <w:pPr>
        <w:jc w:val="both"/>
        <w:rPr>
          <w:bCs/>
        </w:rPr>
      </w:pPr>
      <w:r>
        <w:rPr>
          <w:bCs/>
        </w:rPr>
        <w:t xml:space="preserve">Procédure alternative a été mise en place : </w:t>
      </w:r>
    </w:p>
    <w:p w14:paraId="4C163F60" w14:textId="7B381890" w:rsidR="00960EA9" w:rsidRPr="00960EA9" w:rsidRDefault="00960EA9" w:rsidP="00960EA9">
      <w:pPr>
        <w:pStyle w:val="Paragraphedeliste"/>
        <w:numPr>
          <w:ilvl w:val="0"/>
          <w:numId w:val="17"/>
        </w:numPr>
        <w:jc w:val="both"/>
        <w:rPr>
          <w:bCs/>
        </w:rPr>
      </w:pPr>
      <w:r w:rsidRPr="00960EA9">
        <w:rPr>
          <w:bCs/>
        </w:rPr>
        <w:t>L’analyse de l’antériorité n’a pas révélé d’anomalie</w:t>
      </w:r>
      <w:r>
        <w:rPr>
          <w:bCs/>
        </w:rPr>
        <w:t>.</w:t>
      </w:r>
    </w:p>
    <w:p w14:paraId="4D03C3D9" w14:textId="23CC99E1" w:rsidR="00960EA9" w:rsidRPr="00960EA9" w:rsidRDefault="00960EA9" w:rsidP="00960EA9">
      <w:pPr>
        <w:pStyle w:val="Paragraphedeliste"/>
        <w:numPr>
          <w:ilvl w:val="0"/>
          <w:numId w:val="17"/>
        </w:numPr>
        <w:jc w:val="both"/>
      </w:pPr>
      <w:r w:rsidRPr="00960EA9">
        <w:rPr>
          <w:bCs/>
        </w:rPr>
        <w:t>L’apurement post clôture</w:t>
      </w:r>
      <w:r>
        <w:rPr>
          <w:bCs/>
        </w:rPr>
        <w:t xml:space="preserve"> est satisfaisant.</w:t>
      </w:r>
    </w:p>
    <w:p w14:paraId="6774AE75" w14:textId="77777777" w:rsidR="002C2C9B" w:rsidRPr="002C2C9B" w:rsidRDefault="002C2C9B" w:rsidP="002C2C9B">
      <w:pPr>
        <w:jc w:val="both"/>
      </w:pPr>
    </w:p>
    <w:p w14:paraId="3AC32DEE" w14:textId="77777777" w:rsidR="00EB0529" w:rsidRPr="00A472E6" w:rsidRDefault="00EB0529" w:rsidP="001B4280">
      <w:pPr>
        <w:pStyle w:val="AuditnconclusionChapitre"/>
        <w:spacing w:before="240"/>
        <w:ind w:left="357" w:hanging="357"/>
        <w:jc w:val="both"/>
        <w:rPr>
          <w:rFonts w:ascii="Calibri" w:hAnsi="Calibri"/>
        </w:rPr>
      </w:pPr>
      <w:r w:rsidRPr="00A472E6">
        <w:rPr>
          <w:rFonts w:ascii="Calibri" w:hAnsi="Calibri"/>
        </w:rPr>
        <w:t>POINTS D’AUDIT</w:t>
      </w:r>
    </w:p>
    <w:p w14:paraId="7ED8B85B" w14:textId="42930E84" w:rsidR="00C34B62" w:rsidRPr="00A472E6" w:rsidRDefault="00EB0529" w:rsidP="001B4280">
      <w:pPr>
        <w:pStyle w:val="AuditnconclusionTitreattribut"/>
        <w:jc w:val="both"/>
        <w:rPr>
          <w:rFonts w:ascii="Calibri" w:hAnsi="Calibri"/>
          <w:b w:val="0"/>
          <w:sz w:val="22"/>
        </w:rPr>
      </w:pPr>
      <w:r w:rsidRPr="00A472E6">
        <w:rPr>
          <w:rFonts w:ascii="Calibri" w:hAnsi="Calibri"/>
          <w:b w:val="0"/>
          <w:sz w:val="22"/>
        </w:rPr>
        <w:t>Rien à sig</w:t>
      </w:r>
      <w:r w:rsidR="00C34B62" w:rsidRPr="00A472E6">
        <w:rPr>
          <w:rFonts w:ascii="Calibri" w:hAnsi="Calibri"/>
          <w:b w:val="0"/>
          <w:sz w:val="22"/>
        </w:rPr>
        <w:t>nal</w:t>
      </w:r>
      <w:r w:rsidR="00CE7E93">
        <w:rPr>
          <w:rFonts w:ascii="Calibri" w:hAnsi="Calibri"/>
          <w:b w:val="0"/>
          <w:sz w:val="22"/>
        </w:rPr>
        <w:t>er </w:t>
      </w:r>
    </w:p>
    <w:p w14:paraId="5B257304" w14:textId="77777777" w:rsidR="00EB0529" w:rsidRPr="00CE7E93" w:rsidRDefault="00EB0529" w:rsidP="001B4280">
      <w:pPr>
        <w:pStyle w:val="AuditnconclusionChapitre"/>
        <w:spacing w:before="240"/>
        <w:ind w:left="357" w:hanging="357"/>
        <w:jc w:val="both"/>
        <w:rPr>
          <w:rFonts w:ascii="Calibri" w:hAnsi="Calibri"/>
        </w:rPr>
      </w:pPr>
      <w:r w:rsidRPr="00CE7E93">
        <w:rPr>
          <w:rFonts w:ascii="Calibri" w:hAnsi="Calibri"/>
        </w:rPr>
        <w:t>POINTS EN SUSPENS</w:t>
      </w:r>
      <w:r w:rsidRPr="00CE7E93">
        <w:rPr>
          <w:vertAlign w:val="superscript"/>
        </w:rPr>
        <w:footnoteReference w:id="1"/>
      </w:r>
    </w:p>
    <w:p w14:paraId="46BA5950" w14:textId="77777777" w:rsidR="00EB0529" w:rsidRPr="00CE7E93" w:rsidRDefault="00EB0529" w:rsidP="001B4280">
      <w:pPr>
        <w:pStyle w:val="AuditnconclusionChapitre"/>
        <w:numPr>
          <w:ilvl w:val="0"/>
          <w:numId w:val="0"/>
        </w:numPr>
        <w:tabs>
          <w:tab w:val="left" w:pos="708"/>
        </w:tabs>
        <w:jc w:val="both"/>
        <w:rPr>
          <w:rFonts w:ascii="Calibri" w:hAnsi="Calibri"/>
          <w:b w:val="0"/>
          <w:i/>
          <w:sz w:val="20"/>
        </w:rPr>
      </w:pPr>
      <w:r w:rsidRPr="00CE7E93">
        <w:rPr>
          <w:rFonts w:ascii="Calibri" w:hAnsi="Calibri"/>
          <w:b w:val="0"/>
          <w:i/>
          <w:sz w:val="20"/>
        </w:rPr>
        <w:lastRenderedPageBreak/>
        <w:t>Points en suspens à traiter, points à examiner ultérieurement notamment relatifs aux diligences du CAC, déclarations de la direction….</w:t>
      </w:r>
    </w:p>
    <w:p w14:paraId="76012B60" w14:textId="77777777" w:rsidR="00EB0529" w:rsidRPr="00CE7E93" w:rsidRDefault="00EB0529" w:rsidP="001B4280">
      <w:pPr>
        <w:pStyle w:val="AuditnconclusionTitreattribut"/>
        <w:jc w:val="both"/>
        <w:rPr>
          <w:rFonts w:ascii="Calibri" w:hAnsi="Calibri"/>
          <w:b w:val="0"/>
          <w:sz w:val="22"/>
        </w:rPr>
      </w:pPr>
      <w:r w:rsidRPr="00CE7E93">
        <w:rPr>
          <w:rFonts w:ascii="Calibri" w:hAnsi="Calibri"/>
          <w:b w:val="0"/>
          <w:sz w:val="22"/>
        </w:rPr>
        <w:t>Pas de point en suspens.</w:t>
      </w:r>
    </w:p>
    <w:p w14:paraId="25E9EF7F" w14:textId="77777777" w:rsidR="00EB0529" w:rsidRPr="00E51523" w:rsidRDefault="00EB0529" w:rsidP="001B4280">
      <w:pPr>
        <w:pStyle w:val="AuditnconclusionChapitre"/>
        <w:spacing w:before="240"/>
        <w:ind w:left="357" w:hanging="357"/>
        <w:jc w:val="both"/>
        <w:rPr>
          <w:rFonts w:ascii="Calibri" w:hAnsi="Calibri"/>
        </w:rPr>
      </w:pPr>
      <w:r w:rsidRPr="00E51523">
        <w:rPr>
          <w:rFonts w:ascii="Calibri" w:hAnsi="Calibri"/>
        </w:rPr>
        <w:t>POINTS A SUIVRE SUR L’EXERCICE SUIVANT</w:t>
      </w:r>
      <w:r w:rsidRPr="00E51523">
        <w:rPr>
          <w:vertAlign w:val="superscript"/>
        </w:rPr>
        <w:footnoteReference w:id="2"/>
      </w:r>
    </w:p>
    <w:p w14:paraId="1A95AB16" w14:textId="7B6AC1B1" w:rsidR="00EB0529" w:rsidRPr="00E51523" w:rsidRDefault="00E51523" w:rsidP="001B4280">
      <w:pPr>
        <w:pStyle w:val="AuditnconclusionChapitre"/>
        <w:numPr>
          <w:ilvl w:val="0"/>
          <w:numId w:val="0"/>
        </w:numPr>
        <w:tabs>
          <w:tab w:val="left" w:pos="708"/>
        </w:tabs>
        <w:spacing w:before="0" w:after="0"/>
        <w:jc w:val="both"/>
        <w:rPr>
          <w:rFonts w:ascii="Calibri" w:hAnsi="Calibri"/>
          <w:b w:val="0"/>
          <w:sz w:val="22"/>
        </w:rPr>
      </w:pPr>
      <w:r w:rsidRPr="00E51523">
        <w:rPr>
          <w:rFonts w:ascii="Calibri" w:hAnsi="Calibri"/>
          <w:b w:val="0"/>
          <w:sz w:val="22"/>
        </w:rPr>
        <w:t>Pour rap</w:t>
      </w:r>
      <w:r>
        <w:rPr>
          <w:rFonts w:ascii="Calibri" w:hAnsi="Calibri"/>
          <w:b w:val="0"/>
          <w:sz w:val="22"/>
        </w:rPr>
        <w:t xml:space="preserve">pel le point à suivre 2023 portait sur la </w:t>
      </w:r>
      <w:r w:rsidR="00E75B53" w:rsidRPr="00E51523">
        <w:rPr>
          <w:rFonts w:ascii="Calibri" w:hAnsi="Calibri"/>
          <w:b w:val="0"/>
          <w:sz w:val="22"/>
        </w:rPr>
        <w:t>FAE concernant l’</w:t>
      </w:r>
      <w:r w:rsidR="00E75B53" w:rsidRPr="00E51523">
        <w:rPr>
          <w:rFonts w:ascii="Calibri" w:hAnsi="Calibri"/>
          <w:b w:val="0"/>
          <w:i/>
          <w:sz w:val="22"/>
        </w:rPr>
        <w:t>Echappée</w:t>
      </w:r>
      <w:r w:rsidR="00E75B53" w:rsidRPr="00E51523">
        <w:rPr>
          <w:rFonts w:ascii="Calibri" w:hAnsi="Calibri"/>
          <w:b w:val="0"/>
          <w:sz w:val="22"/>
        </w:rPr>
        <w:t xml:space="preserve"> pour 628 k€ TTC.</w:t>
      </w:r>
      <w:r>
        <w:rPr>
          <w:rFonts w:ascii="Calibri" w:hAnsi="Calibri"/>
          <w:b w:val="0"/>
          <w:sz w:val="22"/>
        </w:rPr>
        <w:t xml:space="preserve"> En 2024 nous avons revu spécifiquement la FAE d’un montant de 547 k€ TTC et correspondant aux droits de diffusion télévisuelle et catch up TV avec Canal + en Suisse et sur les autres territoires toujours maintenue en FAE car le film n’est toujours pas sorti au cinéma.</w:t>
      </w:r>
    </w:p>
    <w:p w14:paraId="7AD13D8F" w14:textId="77777777" w:rsidR="00EB0529" w:rsidRPr="00CE7E93" w:rsidRDefault="00EB0529" w:rsidP="001B4280">
      <w:pPr>
        <w:pStyle w:val="AuditnconclusionChapitre"/>
        <w:spacing w:before="240"/>
        <w:ind w:left="357" w:hanging="357"/>
        <w:jc w:val="both"/>
        <w:rPr>
          <w:rFonts w:ascii="Calibri" w:hAnsi="Calibri"/>
        </w:rPr>
      </w:pPr>
      <w:r w:rsidRPr="00CE7E93">
        <w:rPr>
          <w:rFonts w:ascii="Calibri" w:hAnsi="Calibri"/>
        </w:rPr>
        <w:t>CONCLUSION</w:t>
      </w:r>
    </w:p>
    <w:p w14:paraId="48339D98" w14:textId="77777777" w:rsidR="00EB0529" w:rsidRPr="00CE7E93" w:rsidRDefault="00EB0529" w:rsidP="001B4280">
      <w:pPr>
        <w:pStyle w:val="AuditnconclusionTitreattribut"/>
        <w:ind w:left="360"/>
        <w:jc w:val="both"/>
        <w:rPr>
          <w:rFonts w:ascii="Calibri" w:hAnsi="Calibri"/>
          <w:b w:val="0"/>
          <w:i/>
          <w:sz w:val="20"/>
        </w:rPr>
      </w:pPr>
      <w:r w:rsidRPr="00CE7E93">
        <w:rPr>
          <w:rFonts w:ascii="Calibri" w:hAnsi="Calibri"/>
          <w:b w:val="0"/>
          <w:i/>
          <w:sz w:val="20"/>
        </w:rPr>
        <w:t>La conclusion remonte en principe dans la note de synthèse. Elle répond si nécessaire aux questions suscitées par l’approche des risques (cf. annexe 1) et fait état des points d’audit impactant les rapports</w:t>
      </w:r>
    </w:p>
    <w:p w14:paraId="6C1C5013" w14:textId="33515809" w:rsidR="00CE7E93" w:rsidRDefault="00CE7E93" w:rsidP="001B4280">
      <w:pPr>
        <w:pStyle w:val="AuditnconclusionTitreattribut"/>
        <w:jc w:val="both"/>
        <w:outlineLvl w:val="0"/>
        <w:rPr>
          <w:rFonts w:ascii="Calibri" w:hAnsi="Calibri"/>
          <w:b w:val="0"/>
          <w:sz w:val="22"/>
        </w:rPr>
      </w:pPr>
      <w:r>
        <w:rPr>
          <w:rFonts w:ascii="Calibri" w:hAnsi="Calibri"/>
          <w:b w:val="0"/>
          <w:sz w:val="22"/>
        </w:rPr>
        <w:t xml:space="preserve">Les travaux réalisés sur le Chiffre d’affaires sont satisfaisant. </w:t>
      </w:r>
      <w:r w:rsidR="00FD1BC8">
        <w:rPr>
          <w:rFonts w:ascii="Calibri" w:hAnsi="Calibri"/>
          <w:b w:val="0"/>
          <w:sz w:val="22"/>
        </w:rPr>
        <w:t>Point</w:t>
      </w:r>
      <w:r>
        <w:rPr>
          <w:rFonts w:ascii="Calibri" w:hAnsi="Calibri"/>
          <w:b w:val="0"/>
          <w:sz w:val="22"/>
        </w:rPr>
        <w:t xml:space="preserve"> n’ayant pas un impact significatif sur les comptes ont été relevés :</w:t>
      </w:r>
    </w:p>
    <w:p w14:paraId="71AB4B47" w14:textId="77777777" w:rsidR="00CE7E93" w:rsidRDefault="00CE7E93" w:rsidP="00CE7E93">
      <w:pPr>
        <w:pStyle w:val="Paragraphedeliste"/>
        <w:numPr>
          <w:ilvl w:val="0"/>
          <w:numId w:val="16"/>
        </w:numPr>
        <w:jc w:val="both"/>
      </w:pPr>
      <w:r w:rsidRPr="00DC47E6">
        <w:t>Au 31 décembre 2024 un AAE aurait dû être comptabilisé pour annuler la facture à destination de Discovery et une FAE aurait dû être comptabilisée à destination de HBO pour 1 M€ chacun. Pas d’impact résultat sur les comptes au 31 décembre 2024.</w:t>
      </w:r>
    </w:p>
    <w:p w14:paraId="31B177F7" w14:textId="3966F3E5" w:rsidR="00C34B62" w:rsidRPr="00CE7E93" w:rsidRDefault="00C34B62" w:rsidP="001B4280">
      <w:pPr>
        <w:pStyle w:val="AuditnconclusionTitreattribut"/>
        <w:jc w:val="both"/>
        <w:rPr>
          <w:rFonts w:ascii="Calibri" w:hAnsi="Calibri"/>
          <w:sz w:val="22"/>
        </w:rPr>
      </w:pPr>
    </w:p>
    <w:p w14:paraId="005402B2" w14:textId="77777777" w:rsidR="00EB0529" w:rsidRPr="00CE7E93" w:rsidRDefault="00EB0529" w:rsidP="001B4280">
      <w:pPr>
        <w:pStyle w:val="AuditnconclusionTitreattribut"/>
        <w:jc w:val="both"/>
        <w:rPr>
          <w:rFonts w:ascii="Calibri" w:hAnsi="Calibri"/>
          <w:sz w:val="22"/>
        </w:rPr>
      </w:pPr>
      <w:r w:rsidRPr="00CE7E93">
        <w:rPr>
          <w:rFonts w:ascii="Calibri" w:hAnsi="Calibri"/>
          <w:sz w:val="22"/>
        </w:rPr>
        <w:t xml:space="preserve">Conclusion des contrôles sur le cycle : </w:t>
      </w:r>
    </w:p>
    <w:p w14:paraId="31F8107A" w14:textId="77777777" w:rsidR="00EB0529" w:rsidRDefault="00EB0529" w:rsidP="001B4280">
      <w:pPr>
        <w:pStyle w:val="AuditnconclusionTitreattribut"/>
        <w:jc w:val="both"/>
        <w:outlineLvl w:val="0"/>
        <w:rPr>
          <w:rFonts w:ascii="Calibri" w:hAnsi="Calibri"/>
          <w:b w:val="0"/>
          <w:sz w:val="22"/>
        </w:rPr>
      </w:pPr>
      <w:r w:rsidRPr="00CE7E93">
        <w:rPr>
          <w:rFonts w:ascii="Calibri" w:hAnsi="Calibri"/>
          <w:b w:val="0"/>
          <w:sz w:val="22"/>
        </w:rPr>
        <w:t>Cycle validé.</w:t>
      </w:r>
    </w:p>
    <w:p w14:paraId="149CD970" w14:textId="77777777" w:rsidR="00EB0529" w:rsidRDefault="00EB0529" w:rsidP="001B4280">
      <w:pPr>
        <w:jc w:val="both"/>
      </w:pPr>
    </w:p>
    <w:sectPr w:rsidR="00EB0529">
      <w:head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67ECEC" w14:textId="77777777" w:rsidR="00BA6189" w:rsidRDefault="00BA6189" w:rsidP="00B9077D">
      <w:pPr>
        <w:spacing w:after="0" w:line="240" w:lineRule="auto"/>
      </w:pPr>
      <w:r>
        <w:separator/>
      </w:r>
    </w:p>
  </w:endnote>
  <w:endnote w:type="continuationSeparator" w:id="0">
    <w:p w14:paraId="6BA7FFF1" w14:textId="77777777" w:rsidR="00BA6189" w:rsidRDefault="00BA6189" w:rsidP="00B907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A8668" w14:textId="77777777" w:rsidR="00BA6189" w:rsidRDefault="00BA6189" w:rsidP="00B9077D">
      <w:pPr>
        <w:spacing w:after="0" w:line="240" w:lineRule="auto"/>
      </w:pPr>
      <w:r>
        <w:separator/>
      </w:r>
    </w:p>
  </w:footnote>
  <w:footnote w:type="continuationSeparator" w:id="0">
    <w:p w14:paraId="4715A9B9" w14:textId="77777777" w:rsidR="00BA6189" w:rsidRDefault="00BA6189" w:rsidP="00B9077D">
      <w:pPr>
        <w:spacing w:after="0" w:line="240" w:lineRule="auto"/>
      </w:pPr>
      <w:r>
        <w:continuationSeparator/>
      </w:r>
    </w:p>
  </w:footnote>
  <w:footnote w:id="1">
    <w:p w14:paraId="15B844D1" w14:textId="77777777" w:rsidR="00B4567A" w:rsidRDefault="00B4567A" w:rsidP="00EB0529">
      <w:pPr>
        <w:pStyle w:val="Notedebasdepage"/>
      </w:pPr>
      <w:r>
        <w:rPr>
          <w:rStyle w:val="Appelnotedebasdep"/>
        </w:rPr>
        <w:footnoteRef/>
      </w:r>
      <w:r>
        <w:t xml:space="preserve"> Ces points donnent lieu en tant que de besoin à l’établissement de notes de revue</w:t>
      </w:r>
    </w:p>
  </w:footnote>
  <w:footnote w:id="2">
    <w:p w14:paraId="5934C5B0" w14:textId="77777777" w:rsidR="00B4567A" w:rsidRDefault="00B4567A" w:rsidP="00EB0529">
      <w:pPr>
        <w:pStyle w:val="Notedebasdepage"/>
      </w:pPr>
      <w:r>
        <w:rPr>
          <w:rStyle w:val="Appelnotedebasdep"/>
        </w:rPr>
        <w:footnoteRef/>
      </w:r>
      <w:r>
        <w:t xml:space="preserve"> Cette partie peut faire l’objet d’un message reportable qui sera agrafé à la note de </w:t>
      </w:r>
      <w:bookmarkStart w:id="5" w:name="_GoBack"/>
      <w:bookmarkEnd w:id="5"/>
      <w:r>
        <w:t>conclusion du cycle en N+1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000000"/>
        <w:left w:val="single" w:sz="4" w:space="0" w:color="000000"/>
        <w:bottom w:val="single" w:sz="4" w:space="0" w:color="000000"/>
        <w:right w:val="single" w:sz="4" w:space="0" w:color="000000"/>
        <w:insideV w:val="single" w:sz="4" w:space="0" w:color="000000"/>
      </w:tblBorders>
      <w:tblCellMar>
        <w:left w:w="98" w:type="dxa"/>
        <w:right w:w="98" w:type="dxa"/>
      </w:tblCellMar>
      <w:tblLook w:val="04A0" w:firstRow="1" w:lastRow="0" w:firstColumn="1" w:lastColumn="0" w:noHBand="0" w:noVBand="1"/>
    </w:tblPr>
    <w:tblGrid>
      <w:gridCol w:w="1441"/>
      <w:gridCol w:w="1496"/>
      <w:gridCol w:w="3188"/>
      <w:gridCol w:w="1443"/>
      <w:gridCol w:w="1494"/>
    </w:tblGrid>
    <w:tr w:rsidR="00B4567A" w14:paraId="7C2E53E9" w14:textId="77777777" w:rsidTr="005A46F2">
      <w:trPr>
        <w:trHeight w:val="494"/>
      </w:trPr>
      <w:tc>
        <w:tcPr>
          <w:tcW w:w="759" w:type="pct"/>
          <w:tcBorders>
            <w:top w:val="single" w:sz="4" w:space="0" w:color="000000"/>
            <w:left w:val="single" w:sz="4" w:space="0" w:color="000000"/>
            <w:bottom w:val="single" w:sz="4" w:space="0" w:color="000000"/>
            <w:right w:val="single" w:sz="4" w:space="0" w:color="000000"/>
          </w:tcBorders>
          <w:vAlign w:val="center"/>
          <w:hideMark/>
        </w:tcPr>
        <w:p w14:paraId="7DE83477" w14:textId="77777777" w:rsidR="00B4567A" w:rsidRDefault="00B4567A" w:rsidP="00B907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Calibri" w:hAnsi="Calibri"/>
              <w:noProof/>
              <w:lang w:val="en-US"/>
            </w:rPr>
          </w:pPr>
          <w:r>
            <w:rPr>
              <w:rFonts w:ascii="Calibri" w:hAnsi="Calibri"/>
              <w:b/>
            </w:rPr>
            <w:t xml:space="preserve">Société : </w:t>
          </w:r>
        </w:p>
      </w:tc>
      <w:tc>
        <w:tcPr>
          <w:tcW w:w="2692" w:type="pct"/>
          <w:gridSpan w:val="2"/>
          <w:tcBorders>
            <w:top w:val="single" w:sz="4" w:space="0" w:color="000000"/>
            <w:left w:val="single" w:sz="4" w:space="0" w:color="000000"/>
            <w:bottom w:val="single" w:sz="4" w:space="0" w:color="000000"/>
            <w:right w:val="single" w:sz="4" w:space="0" w:color="000000"/>
          </w:tcBorders>
          <w:vAlign w:val="center"/>
          <w:hideMark/>
        </w:tcPr>
        <w:p w14:paraId="5031B875" w14:textId="77777777" w:rsidR="00B4567A" w:rsidRDefault="00B4567A" w:rsidP="00B907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Calibri" w:hAnsi="Calibri"/>
              <w:noProof/>
              <w:lang w:val="en-US"/>
            </w:rPr>
          </w:pPr>
          <w:r>
            <w:rPr>
              <w:rFonts w:ascii="Calibri" w:hAnsi="Calibri"/>
              <w:noProof/>
              <w:lang w:val="en-US"/>
            </w:rPr>
            <w:t>CHI FOU MI PRODUCTION</w:t>
          </w:r>
        </w:p>
      </w:tc>
      <w:tc>
        <w:tcPr>
          <w:tcW w:w="761" w:type="pct"/>
          <w:tcBorders>
            <w:top w:val="single" w:sz="4" w:space="0" w:color="000000"/>
            <w:left w:val="single" w:sz="4" w:space="0" w:color="000000"/>
            <w:bottom w:val="single" w:sz="4" w:space="0" w:color="000000"/>
            <w:right w:val="single" w:sz="4" w:space="0" w:color="000000"/>
          </w:tcBorders>
          <w:vAlign w:val="center"/>
          <w:hideMark/>
        </w:tcPr>
        <w:p w14:paraId="1E7E4AD4" w14:textId="77777777" w:rsidR="00B4567A" w:rsidRDefault="00B4567A" w:rsidP="00B907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Calibri" w:hAnsi="Calibri"/>
              <w:noProof/>
              <w:lang w:val="en-US"/>
            </w:rPr>
          </w:pPr>
          <w:r>
            <w:rPr>
              <w:rFonts w:ascii="Calibri" w:hAnsi="Calibri"/>
              <w:b/>
            </w:rPr>
            <w:t>Réf :</w:t>
          </w:r>
        </w:p>
      </w:tc>
      <w:tc>
        <w:tcPr>
          <w:tcW w:w="788" w:type="pct"/>
          <w:tcBorders>
            <w:top w:val="single" w:sz="4" w:space="0" w:color="000000"/>
            <w:left w:val="single" w:sz="4" w:space="0" w:color="000000"/>
            <w:bottom w:val="single" w:sz="4" w:space="0" w:color="000000"/>
            <w:right w:val="single" w:sz="4" w:space="0" w:color="000000"/>
          </w:tcBorders>
          <w:vAlign w:val="center"/>
          <w:hideMark/>
        </w:tcPr>
        <w:p w14:paraId="6E097730" w14:textId="77777777" w:rsidR="00B4567A" w:rsidRDefault="00B4567A" w:rsidP="00B907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Calibri" w:hAnsi="Calibri"/>
              <w:noProof/>
              <w:color w:val="FF0000"/>
              <w:lang w:val="en-US"/>
            </w:rPr>
          </w:pPr>
          <w:bookmarkStart w:id="6" w:name="SYSç78ç0çTrue"/>
          <w:r>
            <w:rPr>
              <w:rFonts w:ascii="Calibri" w:hAnsi="Calibri"/>
              <w:color w:val="FF0000"/>
            </w:rPr>
            <w:t>DAC/</w:t>
          </w:r>
          <w:bookmarkEnd w:id="6"/>
        </w:p>
      </w:tc>
    </w:tr>
    <w:tr w:rsidR="00B4567A" w14:paraId="20CA14B4" w14:textId="77777777" w:rsidTr="005A46F2">
      <w:trPr>
        <w:cantSplit/>
        <w:trHeight w:val="2186"/>
      </w:trPr>
      <w:tc>
        <w:tcPr>
          <w:tcW w:w="1548"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tbl>
          <w:tblPr>
            <w:tblW w:w="2925" w:type="dxa"/>
            <w:tblInd w:w="2" w:type="dxa"/>
            <w:tblCellMar>
              <w:left w:w="98" w:type="dxa"/>
              <w:right w:w="98" w:type="dxa"/>
            </w:tblCellMar>
            <w:tblLook w:val="04A0" w:firstRow="1" w:lastRow="0" w:firstColumn="1" w:lastColumn="0" w:noHBand="0" w:noVBand="1"/>
          </w:tblPr>
          <w:tblGrid>
            <w:gridCol w:w="1435"/>
            <w:gridCol w:w="1490"/>
          </w:tblGrid>
          <w:tr w:rsidR="00B4567A" w14:paraId="710B61A6" w14:textId="77777777" w:rsidTr="005A46F2">
            <w:trPr>
              <w:cantSplit/>
              <w:trHeight w:val="494"/>
            </w:trPr>
            <w:tc>
              <w:tcPr>
                <w:tcW w:w="1435" w:type="dxa"/>
                <w:tcBorders>
                  <w:top w:val="nil"/>
                  <w:left w:val="nil"/>
                  <w:bottom w:val="single" w:sz="4" w:space="0" w:color="000000"/>
                  <w:right w:val="single" w:sz="4" w:space="0" w:color="000000"/>
                </w:tcBorders>
                <w:vAlign w:val="center"/>
                <w:hideMark/>
              </w:tcPr>
              <w:p w14:paraId="18560C01" w14:textId="77777777" w:rsidR="00B4567A" w:rsidRDefault="00B4567A" w:rsidP="00B907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Calibri" w:hAnsi="Calibri"/>
                    <w:noProof/>
                    <w:lang w:val="en-US"/>
                  </w:rPr>
                </w:pPr>
                <w:r>
                  <w:rPr>
                    <w:rFonts w:ascii="Calibri" w:hAnsi="Calibri"/>
                  </w:rPr>
                  <w:t xml:space="preserve">Créé le : </w:t>
                </w:r>
              </w:p>
            </w:tc>
            <w:tc>
              <w:tcPr>
                <w:tcW w:w="1491" w:type="dxa"/>
                <w:tcBorders>
                  <w:top w:val="nil"/>
                  <w:left w:val="single" w:sz="4" w:space="0" w:color="000000"/>
                  <w:bottom w:val="single" w:sz="4" w:space="0" w:color="000000"/>
                  <w:right w:val="nil"/>
                </w:tcBorders>
                <w:vAlign w:val="center"/>
                <w:hideMark/>
              </w:tcPr>
              <w:p w14:paraId="38174DAB" w14:textId="77777777" w:rsidR="00B4567A" w:rsidRDefault="00B4567A" w:rsidP="00B907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Calibri" w:hAnsi="Calibri"/>
                    <w:noProof/>
                    <w:lang w:val="en-US"/>
                  </w:rPr>
                </w:pPr>
                <w:bookmarkStart w:id="7" w:name="SYSç1ç0çFalse"/>
                <w:r>
                  <w:rPr>
                    <w:rFonts w:ascii="Calibri" w:hAnsi="Calibri"/>
                    <w:noProof/>
                    <w:lang w:val="en-US"/>
                  </w:rPr>
                  <w:t>08/02/20</w:t>
                </w:r>
                <w:bookmarkEnd w:id="7"/>
                <w:r>
                  <w:rPr>
                    <w:rFonts w:ascii="Calibri" w:hAnsi="Calibri"/>
                    <w:noProof/>
                    <w:lang w:val="en-US"/>
                  </w:rPr>
                  <w:t>25</w:t>
                </w:r>
              </w:p>
            </w:tc>
          </w:tr>
          <w:tr w:rsidR="00B4567A" w14:paraId="4C1F2B70" w14:textId="77777777" w:rsidTr="005A46F2">
            <w:trPr>
              <w:cantSplit/>
              <w:trHeight w:val="494"/>
            </w:trPr>
            <w:tc>
              <w:tcPr>
                <w:tcW w:w="1435" w:type="dxa"/>
                <w:tcBorders>
                  <w:top w:val="single" w:sz="4" w:space="0" w:color="000000"/>
                  <w:left w:val="nil"/>
                  <w:bottom w:val="single" w:sz="4" w:space="0" w:color="000000"/>
                  <w:right w:val="single" w:sz="4" w:space="0" w:color="000000"/>
                </w:tcBorders>
                <w:vAlign w:val="center"/>
                <w:hideMark/>
              </w:tcPr>
              <w:p w14:paraId="5CAE16E9" w14:textId="77777777" w:rsidR="00B4567A" w:rsidRDefault="00B4567A" w:rsidP="00B907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Calibri" w:hAnsi="Calibri"/>
                    <w:noProof/>
                    <w:lang w:val="en-US"/>
                  </w:rPr>
                </w:pPr>
                <w:r>
                  <w:rPr>
                    <w:rFonts w:ascii="Calibri" w:hAnsi="Calibri"/>
                  </w:rPr>
                  <w:t xml:space="preserve">Rédacteur : </w:t>
                </w:r>
              </w:p>
            </w:tc>
            <w:tc>
              <w:tcPr>
                <w:tcW w:w="1491" w:type="dxa"/>
                <w:tcBorders>
                  <w:top w:val="single" w:sz="4" w:space="0" w:color="000000"/>
                  <w:left w:val="single" w:sz="4" w:space="0" w:color="000000"/>
                  <w:bottom w:val="single" w:sz="4" w:space="0" w:color="000000"/>
                  <w:right w:val="nil"/>
                </w:tcBorders>
                <w:vAlign w:val="center"/>
                <w:hideMark/>
              </w:tcPr>
              <w:p w14:paraId="1DB1E15B" w14:textId="77777777" w:rsidR="00B4567A" w:rsidRDefault="00B4567A" w:rsidP="00B907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Calibri" w:hAnsi="Calibri"/>
                    <w:noProof/>
                    <w:lang w:val="en-US"/>
                  </w:rPr>
                </w:pPr>
                <w:r>
                  <w:rPr>
                    <w:rFonts w:ascii="Calibri" w:hAnsi="Calibri"/>
                    <w:noProof/>
                    <w:lang w:val="en-US"/>
                  </w:rPr>
                  <w:t>SDH</w:t>
                </w:r>
              </w:p>
            </w:tc>
          </w:tr>
          <w:tr w:rsidR="00B4567A" w14:paraId="3C0E95F5" w14:textId="77777777" w:rsidTr="005A46F2">
            <w:trPr>
              <w:cantSplit/>
              <w:trHeight w:val="494"/>
            </w:trPr>
            <w:tc>
              <w:tcPr>
                <w:tcW w:w="1435" w:type="dxa"/>
                <w:tcBorders>
                  <w:top w:val="single" w:sz="4" w:space="0" w:color="000000"/>
                  <w:left w:val="nil"/>
                  <w:bottom w:val="single" w:sz="4" w:space="0" w:color="000000"/>
                  <w:right w:val="single" w:sz="4" w:space="0" w:color="000000"/>
                </w:tcBorders>
                <w:vAlign w:val="center"/>
                <w:hideMark/>
              </w:tcPr>
              <w:p w14:paraId="62D2372F" w14:textId="77777777" w:rsidR="00B4567A" w:rsidRDefault="00B4567A" w:rsidP="00B907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Calibri" w:hAnsi="Calibri"/>
                    <w:noProof/>
                    <w:lang w:val="en-US"/>
                  </w:rPr>
                </w:pPr>
                <w:r>
                  <w:rPr>
                    <w:rFonts w:ascii="Calibri" w:hAnsi="Calibri"/>
                  </w:rPr>
                  <w:t>Visé le :</w:t>
                </w:r>
              </w:p>
            </w:tc>
            <w:tc>
              <w:tcPr>
                <w:tcW w:w="1491" w:type="dxa"/>
                <w:tcBorders>
                  <w:top w:val="single" w:sz="4" w:space="0" w:color="000000"/>
                  <w:left w:val="single" w:sz="4" w:space="0" w:color="000000"/>
                  <w:bottom w:val="single" w:sz="4" w:space="0" w:color="000000"/>
                  <w:right w:val="nil"/>
                </w:tcBorders>
                <w:vAlign w:val="center"/>
                <w:hideMark/>
              </w:tcPr>
              <w:p w14:paraId="359BFB90" w14:textId="3EC16A15" w:rsidR="00B4567A" w:rsidRDefault="00C217D3" w:rsidP="00B907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Calibri" w:hAnsi="Calibri"/>
                    <w:noProof/>
                    <w:lang w:val="en-US"/>
                  </w:rPr>
                </w:pPr>
                <w:r>
                  <w:rPr>
                    <w:rFonts w:ascii="Calibri" w:hAnsi="Calibri"/>
                    <w:noProof/>
                    <w:lang w:val="en-US"/>
                  </w:rPr>
                  <w:t>03/03/2025</w:t>
                </w:r>
              </w:p>
            </w:tc>
          </w:tr>
          <w:tr w:rsidR="00B4567A" w14:paraId="0BC3B1E6" w14:textId="77777777" w:rsidTr="005A46F2">
            <w:trPr>
              <w:cantSplit/>
              <w:trHeight w:val="494"/>
            </w:trPr>
            <w:tc>
              <w:tcPr>
                <w:tcW w:w="1435" w:type="dxa"/>
                <w:tcBorders>
                  <w:top w:val="single" w:sz="4" w:space="0" w:color="000000"/>
                  <w:left w:val="nil"/>
                  <w:bottom w:val="single" w:sz="4" w:space="0" w:color="000000"/>
                  <w:right w:val="single" w:sz="4" w:space="0" w:color="000000"/>
                </w:tcBorders>
                <w:vAlign w:val="center"/>
                <w:hideMark/>
              </w:tcPr>
              <w:p w14:paraId="169BBF42" w14:textId="77777777" w:rsidR="00B4567A" w:rsidRDefault="00B4567A" w:rsidP="00B907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Calibri" w:hAnsi="Calibri"/>
                    <w:noProof/>
                    <w:lang w:val="en-US"/>
                  </w:rPr>
                </w:pPr>
                <w:r>
                  <w:rPr>
                    <w:rFonts w:ascii="Calibri" w:hAnsi="Calibri"/>
                  </w:rPr>
                  <w:t>Par :</w:t>
                </w:r>
              </w:p>
            </w:tc>
            <w:tc>
              <w:tcPr>
                <w:tcW w:w="1491" w:type="dxa"/>
                <w:tcBorders>
                  <w:top w:val="single" w:sz="4" w:space="0" w:color="000000"/>
                  <w:left w:val="single" w:sz="4" w:space="0" w:color="000000"/>
                  <w:bottom w:val="single" w:sz="4" w:space="0" w:color="auto"/>
                  <w:right w:val="nil"/>
                </w:tcBorders>
                <w:vAlign w:val="center"/>
                <w:hideMark/>
              </w:tcPr>
              <w:p w14:paraId="700505FD" w14:textId="73FB4BE3" w:rsidR="00B4567A" w:rsidRDefault="00C217D3" w:rsidP="00C217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Calibri" w:hAnsi="Calibri"/>
                    <w:noProof/>
                    <w:lang w:val="en-US"/>
                  </w:rPr>
                </w:pPr>
                <w:r>
                  <w:rPr>
                    <w:rFonts w:ascii="Calibri" w:hAnsi="Calibri"/>
                    <w:noProof/>
                    <w:lang w:val="en-US"/>
                  </w:rPr>
                  <w:t>AS</w:t>
                </w:r>
              </w:p>
            </w:tc>
          </w:tr>
        </w:tbl>
        <w:p w14:paraId="6D8C891D" w14:textId="77777777" w:rsidR="00B4567A" w:rsidRDefault="00B4567A" w:rsidP="00B9077D">
          <w:pPr>
            <w:widowControl w:val="0"/>
            <w:rPr>
              <w:rFonts w:ascii="Calibri" w:hAnsi="Calibri"/>
              <w:noProof/>
              <w:lang w:val="en-US"/>
            </w:rPr>
          </w:pPr>
        </w:p>
      </w:tc>
      <w:tc>
        <w:tcPr>
          <w:tcW w:w="1903" w:type="pct"/>
          <w:tcBorders>
            <w:top w:val="single" w:sz="4" w:space="0" w:color="000000"/>
            <w:left w:val="single" w:sz="4" w:space="0" w:color="000000"/>
            <w:bottom w:val="single" w:sz="4" w:space="0" w:color="000000"/>
            <w:right w:val="single" w:sz="4" w:space="0" w:color="000000"/>
          </w:tcBorders>
          <w:vAlign w:val="center"/>
        </w:tcPr>
        <w:p w14:paraId="4374FF18" w14:textId="77777777" w:rsidR="00B4567A" w:rsidRDefault="00B4567A" w:rsidP="00B907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Calibri" w:hAnsi="Calibri"/>
              <w:b/>
              <w:noProof/>
              <w:color w:val="0000FF"/>
            </w:rPr>
          </w:pPr>
          <w:r>
            <w:rPr>
              <w:rFonts w:ascii="Calibri" w:hAnsi="Calibri"/>
              <w:b/>
            </w:rPr>
            <w:t>NOTE DE CONCLUSION</w:t>
          </w:r>
          <w:r>
            <w:rPr>
              <w:rFonts w:ascii="Calibri" w:hAnsi="Calibri"/>
              <w:b/>
            </w:rPr>
            <w:br/>
            <w:t>CLIENTS/ CHIFFRE D’AFFAIRES</w:t>
          </w:r>
        </w:p>
        <w:p w14:paraId="7A6B025F" w14:textId="77777777" w:rsidR="00B4567A" w:rsidRDefault="00B4567A" w:rsidP="00B907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Calibri" w:hAnsi="Calibri"/>
              <w:noProof/>
            </w:rPr>
          </w:pPr>
        </w:p>
      </w:tc>
      <w:tc>
        <w:tcPr>
          <w:tcW w:w="154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tbl>
          <w:tblPr>
            <w:tblW w:w="2925" w:type="dxa"/>
            <w:tblInd w:w="2" w:type="dxa"/>
            <w:tblCellMar>
              <w:left w:w="98" w:type="dxa"/>
              <w:right w:w="98" w:type="dxa"/>
            </w:tblCellMar>
            <w:tblLook w:val="04A0" w:firstRow="1" w:lastRow="0" w:firstColumn="1" w:lastColumn="0" w:noHBand="0" w:noVBand="1"/>
          </w:tblPr>
          <w:tblGrid>
            <w:gridCol w:w="1437"/>
            <w:gridCol w:w="1488"/>
          </w:tblGrid>
          <w:tr w:rsidR="00B4567A" w14:paraId="0FAEEB4E" w14:textId="77777777" w:rsidTr="005A46F2">
            <w:trPr>
              <w:cantSplit/>
              <w:trHeight w:val="494"/>
            </w:trPr>
            <w:tc>
              <w:tcPr>
                <w:tcW w:w="1438" w:type="dxa"/>
                <w:tcBorders>
                  <w:top w:val="nil"/>
                  <w:left w:val="nil"/>
                  <w:bottom w:val="single" w:sz="4" w:space="0" w:color="000000"/>
                  <w:right w:val="single" w:sz="4" w:space="0" w:color="000000"/>
                </w:tcBorders>
                <w:vAlign w:val="center"/>
                <w:hideMark/>
              </w:tcPr>
              <w:p w14:paraId="764701BA" w14:textId="77777777" w:rsidR="00B4567A" w:rsidRDefault="00B4567A" w:rsidP="00B907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Calibri" w:hAnsi="Calibri"/>
                    <w:noProof/>
                    <w:lang w:val="en-US"/>
                  </w:rPr>
                </w:pPr>
                <w:r>
                  <w:rPr>
                    <w:rFonts w:ascii="Calibri" w:hAnsi="Calibri"/>
                  </w:rPr>
                  <w:t>Clôture le :</w:t>
                </w:r>
              </w:p>
            </w:tc>
            <w:tc>
              <w:tcPr>
                <w:tcW w:w="1489" w:type="dxa"/>
                <w:tcBorders>
                  <w:top w:val="nil"/>
                  <w:left w:val="single" w:sz="4" w:space="0" w:color="000000"/>
                  <w:bottom w:val="single" w:sz="4" w:space="0" w:color="000000"/>
                  <w:right w:val="nil"/>
                </w:tcBorders>
                <w:vAlign w:val="center"/>
                <w:hideMark/>
              </w:tcPr>
              <w:p w14:paraId="1D1A294B" w14:textId="77777777" w:rsidR="00B4567A" w:rsidRDefault="00B4567A" w:rsidP="00B907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Calibri" w:hAnsi="Calibri"/>
                    <w:noProof/>
                    <w:lang w:val="en-US"/>
                  </w:rPr>
                </w:pPr>
                <w:bookmarkStart w:id="8" w:name="SYSç22ç0çFalse"/>
                <w:r>
                  <w:rPr>
                    <w:rFonts w:ascii="Calibri" w:hAnsi="Calibri"/>
                  </w:rPr>
                  <w:t>31/12/20</w:t>
                </w:r>
                <w:bookmarkEnd w:id="8"/>
                <w:r>
                  <w:rPr>
                    <w:rFonts w:ascii="Calibri" w:hAnsi="Calibri"/>
                  </w:rPr>
                  <w:t>24</w:t>
                </w:r>
              </w:p>
            </w:tc>
          </w:tr>
          <w:tr w:rsidR="00B4567A" w14:paraId="44E52A9C" w14:textId="77777777" w:rsidTr="005A46F2">
            <w:trPr>
              <w:cantSplit/>
              <w:trHeight w:val="494"/>
            </w:trPr>
            <w:tc>
              <w:tcPr>
                <w:tcW w:w="1438" w:type="dxa"/>
                <w:tcBorders>
                  <w:top w:val="single" w:sz="4" w:space="0" w:color="000000"/>
                  <w:left w:val="nil"/>
                  <w:bottom w:val="single" w:sz="4" w:space="0" w:color="000000"/>
                  <w:right w:val="single" w:sz="4" w:space="0" w:color="000000"/>
                </w:tcBorders>
                <w:vAlign w:val="center"/>
                <w:hideMark/>
              </w:tcPr>
              <w:p w14:paraId="4485C6A2" w14:textId="77777777" w:rsidR="00B4567A" w:rsidRDefault="00B4567A" w:rsidP="00B907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Calibri" w:hAnsi="Calibri"/>
                    <w:noProof/>
                    <w:lang w:val="en-US"/>
                  </w:rPr>
                </w:pPr>
                <w:r>
                  <w:rPr>
                    <w:rFonts w:ascii="Calibri" w:hAnsi="Calibri"/>
                  </w:rPr>
                  <w:t>Arrêté le :</w:t>
                </w:r>
              </w:p>
            </w:tc>
            <w:tc>
              <w:tcPr>
                <w:tcW w:w="1489" w:type="dxa"/>
                <w:tcBorders>
                  <w:top w:val="single" w:sz="4" w:space="0" w:color="000000"/>
                  <w:left w:val="single" w:sz="4" w:space="0" w:color="000000"/>
                  <w:bottom w:val="single" w:sz="4" w:space="0" w:color="000000"/>
                  <w:right w:val="nil"/>
                </w:tcBorders>
                <w:vAlign w:val="center"/>
                <w:hideMark/>
              </w:tcPr>
              <w:p w14:paraId="5B2210A3" w14:textId="77777777" w:rsidR="00B4567A" w:rsidRDefault="00B4567A" w:rsidP="00B907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Calibri" w:hAnsi="Calibri"/>
                    <w:noProof/>
                    <w:lang w:val="en-US"/>
                  </w:rPr>
                </w:pPr>
                <w:bookmarkStart w:id="9" w:name="SYSç19ç0çTrue"/>
                <w:r>
                  <w:rPr>
                    <w:rFonts w:ascii="Calibri" w:hAnsi="Calibri"/>
                    <w:noProof/>
                    <w:lang w:val="en-US"/>
                  </w:rPr>
                  <w:t>31/12/20</w:t>
                </w:r>
                <w:bookmarkEnd w:id="9"/>
                <w:r>
                  <w:rPr>
                    <w:rFonts w:ascii="Calibri" w:hAnsi="Calibri"/>
                    <w:noProof/>
                    <w:lang w:val="en-US"/>
                  </w:rPr>
                  <w:t>24</w:t>
                </w:r>
              </w:p>
            </w:tc>
          </w:tr>
          <w:tr w:rsidR="00B4567A" w14:paraId="2E0163CC" w14:textId="77777777" w:rsidTr="005A46F2">
            <w:trPr>
              <w:cantSplit/>
              <w:trHeight w:val="494"/>
            </w:trPr>
            <w:tc>
              <w:tcPr>
                <w:tcW w:w="1438" w:type="dxa"/>
                <w:tcBorders>
                  <w:top w:val="single" w:sz="4" w:space="0" w:color="000000"/>
                  <w:left w:val="nil"/>
                  <w:bottom w:val="single" w:sz="4" w:space="0" w:color="000000"/>
                  <w:right w:val="single" w:sz="4" w:space="0" w:color="000000"/>
                </w:tcBorders>
                <w:vAlign w:val="center"/>
                <w:hideMark/>
              </w:tcPr>
              <w:p w14:paraId="26A08401" w14:textId="77777777" w:rsidR="00B4567A" w:rsidRDefault="00B4567A" w:rsidP="00B907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Calibri" w:hAnsi="Calibri"/>
                    <w:noProof/>
                    <w:lang w:val="en-US"/>
                  </w:rPr>
                </w:pPr>
                <w:r>
                  <w:rPr>
                    <w:rFonts w:ascii="Calibri" w:hAnsi="Calibri"/>
                  </w:rPr>
                  <w:t>Cycle :</w:t>
                </w:r>
              </w:p>
            </w:tc>
            <w:tc>
              <w:tcPr>
                <w:tcW w:w="1489" w:type="dxa"/>
                <w:tcBorders>
                  <w:top w:val="single" w:sz="4" w:space="0" w:color="000000"/>
                  <w:left w:val="single" w:sz="4" w:space="0" w:color="000000"/>
                  <w:bottom w:val="single" w:sz="4" w:space="0" w:color="000000"/>
                  <w:right w:val="nil"/>
                </w:tcBorders>
                <w:vAlign w:val="center"/>
              </w:tcPr>
              <w:p w14:paraId="76F4F253" w14:textId="77777777" w:rsidR="00B4567A" w:rsidRDefault="00B4567A" w:rsidP="00B907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Calibri" w:hAnsi="Calibri"/>
                    <w:noProof/>
                    <w:lang w:val="en-US"/>
                  </w:rPr>
                </w:pPr>
                <w:r>
                  <w:rPr>
                    <w:rFonts w:ascii="Calibri" w:hAnsi="Calibri"/>
                    <w:noProof/>
                    <w:lang w:val="en-US"/>
                  </w:rPr>
                  <w:t>A</w:t>
                </w:r>
              </w:p>
            </w:tc>
          </w:tr>
          <w:tr w:rsidR="00B4567A" w14:paraId="15A1FAD2" w14:textId="77777777" w:rsidTr="005A46F2">
            <w:trPr>
              <w:cantSplit/>
              <w:trHeight w:val="494"/>
            </w:trPr>
            <w:tc>
              <w:tcPr>
                <w:tcW w:w="1438" w:type="dxa"/>
                <w:tcBorders>
                  <w:top w:val="single" w:sz="4" w:space="0" w:color="000000"/>
                  <w:left w:val="nil"/>
                  <w:bottom w:val="single" w:sz="4" w:space="0" w:color="auto"/>
                  <w:right w:val="single" w:sz="4" w:space="0" w:color="000000"/>
                </w:tcBorders>
                <w:vAlign w:val="center"/>
                <w:hideMark/>
              </w:tcPr>
              <w:p w14:paraId="065E5684" w14:textId="77777777" w:rsidR="00B4567A" w:rsidRDefault="00B4567A" w:rsidP="00B907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Calibri" w:hAnsi="Calibri"/>
                    <w:noProof/>
                    <w:lang w:val="en-US"/>
                  </w:rPr>
                </w:pPr>
                <w:r>
                  <w:rPr>
                    <w:rFonts w:ascii="Calibri" w:hAnsi="Calibri"/>
                  </w:rPr>
                  <w:t>Indexation :</w:t>
                </w:r>
              </w:p>
            </w:tc>
            <w:tc>
              <w:tcPr>
                <w:tcW w:w="1489" w:type="dxa"/>
                <w:tcBorders>
                  <w:top w:val="single" w:sz="4" w:space="0" w:color="000000"/>
                  <w:left w:val="single" w:sz="4" w:space="0" w:color="000000"/>
                  <w:bottom w:val="single" w:sz="4" w:space="0" w:color="000000"/>
                  <w:right w:val="nil"/>
                </w:tcBorders>
                <w:vAlign w:val="center"/>
              </w:tcPr>
              <w:p w14:paraId="6C29AB6A" w14:textId="77777777" w:rsidR="00B4567A" w:rsidRDefault="00B4567A" w:rsidP="00B907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Calibri" w:hAnsi="Calibri"/>
                    <w:b/>
                    <w:noProof/>
                    <w:lang w:val="en-US"/>
                  </w:rPr>
                </w:pPr>
              </w:p>
            </w:tc>
          </w:tr>
        </w:tbl>
        <w:p w14:paraId="022000C4" w14:textId="77777777" w:rsidR="00B4567A" w:rsidRDefault="00B4567A" w:rsidP="00B9077D">
          <w:pPr>
            <w:widowControl w:val="0"/>
            <w:jc w:val="center"/>
            <w:rPr>
              <w:rFonts w:ascii="Calibri" w:hAnsi="Calibri"/>
              <w:b/>
              <w:noProof/>
              <w:lang w:val="en-US"/>
            </w:rPr>
          </w:pPr>
        </w:p>
      </w:tc>
    </w:tr>
  </w:tbl>
  <w:p w14:paraId="03890B66" w14:textId="77777777" w:rsidR="00B4567A" w:rsidRDefault="00B4567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40BDF"/>
    <w:multiLevelType w:val="hybridMultilevel"/>
    <w:tmpl w:val="94E210EA"/>
    <w:lvl w:ilvl="0" w:tplc="534C243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D64E5F"/>
    <w:multiLevelType w:val="hybridMultilevel"/>
    <w:tmpl w:val="B7E693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4F43A0"/>
    <w:multiLevelType w:val="multilevel"/>
    <w:tmpl w:val="D44A956A"/>
    <w:lvl w:ilvl="0">
      <w:start w:val="1"/>
      <w:numFmt w:val="decimal"/>
      <w:lvlText w:val="%1."/>
      <w:lvlJc w:val="left"/>
      <w:pPr>
        <w:tabs>
          <w:tab w:val="num" w:pos="720"/>
        </w:tabs>
        <w:ind w:left="720" w:hanging="360"/>
      </w:pPr>
    </w:lvl>
    <w:lvl w:ilvl="1">
      <w:start w:val="2"/>
      <w:numFmt w:val="bullet"/>
      <w:lvlText w:val="-"/>
      <w:lvlJc w:val="left"/>
      <w:pPr>
        <w:tabs>
          <w:tab w:val="num" w:pos="1440"/>
        </w:tabs>
        <w:ind w:left="1440" w:hanging="360"/>
      </w:pPr>
      <w:rPr>
        <w:rFonts w:ascii="Calibri" w:eastAsiaTheme="minorHAnsi" w:hAnsi="Calibri" w:cs="Calibri"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9966302"/>
    <w:multiLevelType w:val="hybridMultilevel"/>
    <w:tmpl w:val="181C66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C5A1314"/>
    <w:multiLevelType w:val="multilevel"/>
    <w:tmpl w:val="0BC6E8CE"/>
    <w:lvl w:ilvl="0">
      <w:start w:val="1"/>
      <w:numFmt w:val="decimal"/>
      <w:lvlText w:val="%1."/>
      <w:lvlJc w:val="left"/>
      <w:pPr>
        <w:ind w:left="360" w:hanging="360"/>
      </w:pPr>
    </w:lvl>
    <w:lvl w:ilvl="1">
      <w:start w:val="1"/>
      <w:numFmt w:val="decimal"/>
      <w:lvlText w:val="%1.%2."/>
      <w:lvlJc w:val="left"/>
      <w:pPr>
        <w:ind w:left="792" w:hanging="432"/>
      </w:pPr>
      <w:rPr>
        <w:b/>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FF906FD"/>
    <w:multiLevelType w:val="hybridMultilevel"/>
    <w:tmpl w:val="832251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0301DB"/>
    <w:multiLevelType w:val="hybridMultilevel"/>
    <w:tmpl w:val="D56659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A6121FE"/>
    <w:multiLevelType w:val="hybridMultilevel"/>
    <w:tmpl w:val="9FCCE33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4C722F1"/>
    <w:multiLevelType w:val="hybridMultilevel"/>
    <w:tmpl w:val="4710AB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0793C80"/>
    <w:multiLevelType w:val="hybridMultilevel"/>
    <w:tmpl w:val="7C2888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9A5907"/>
    <w:multiLevelType w:val="hybridMultilevel"/>
    <w:tmpl w:val="3B242610"/>
    <w:lvl w:ilvl="0" w:tplc="057A559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F02FBB"/>
    <w:multiLevelType w:val="hybridMultilevel"/>
    <w:tmpl w:val="C9D694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B5789"/>
    <w:multiLevelType w:val="multilevel"/>
    <w:tmpl w:val="0BC6E8CE"/>
    <w:lvl w:ilvl="0">
      <w:start w:val="1"/>
      <w:numFmt w:val="decimal"/>
      <w:pStyle w:val="AuditnconclusionChapitre"/>
      <w:lvlText w:val="%1."/>
      <w:lvlJc w:val="left"/>
      <w:pPr>
        <w:ind w:left="360" w:hanging="360"/>
      </w:pPr>
    </w:lvl>
    <w:lvl w:ilvl="1">
      <w:start w:val="1"/>
      <w:numFmt w:val="decimal"/>
      <w:lvlText w:val="%1.%2."/>
      <w:lvlJc w:val="left"/>
      <w:pPr>
        <w:ind w:left="792" w:hanging="432"/>
      </w:pPr>
      <w:rPr>
        <w:b/>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2BB3974"/>
    <w:multiLevelType w:val="multilevel"/>
    <w:tmpl w:val="AE4C4D2A"/>
    <w:lvl w:ilvl="0">
      <w:start w:val="2"/>
      <w:numFmt w:val="decimal"/>
      <w:lvlText w:val="%1"/>
      <w:lvlJc w:val="left"/>
      <w:pPr>
        <w:ind w:left="360" w:hanging="360"/>
      </w:pPr>
      <w:rPr>
        <w:rFonts w:hint="default"/>
        <w:sz w:val="22"/>
      </w:rPr>
    </w:lvl>
    <w:lvl w:ilvl="1">
      <w:start w:val="2"/>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4" w15:restartNumberingAfterBreak="0">
    <w:nsid w:val="73FB2ADA"/>
    <w:multiLevelType w:val="hybridMultilevel"/>
    <w:tmpl w:val="4B9E748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7ED1A80"/>
    <w:multiLevelType w:val="hybridMultilevel"/>
    <w:tmpl w:val="96B4F8B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8594E58"/>
    <w:multiLevelType w:val="multilevel"/>
    <w:tmpl w:val="A0B4B6C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num w:numId="1">
    <w:abstractNumId w:val="12"/>
  </w:num>
  <w:num w:numId="2">
    <w:abstractNumId w:val="16"/>
  </w:num>
  <w:num w:numId="3">
    <w:abstractNumId w:val="7"/>
  </w:num>
  <w:num w:numId="4">
    <w:abstractNumId w:val="10"/>
  </w:num>
  <w:num w:numId="5">
    <w:abstractNumId w:val="4"/>
  </w:num>
  <w:num w:numId="6">
    <w:abstractNumId w:val="2"/>
  </w:num>
  <w:num w:numId="7">
    <w:abstractNumId w:val="13"/>
  </w:num>
  <w:num w:numId="8">
    <w:abstractNumId w:val="8"/>
  </w:num>
  <w:num w:numId="9">
    <w:abstractNumId w:val="5"/>
  </w:num>
  <w:num w:numId="10">
    <w:abstractNumId w:val="9"/>
  </w:num>
  <w:num w:numId="11">
    <w:abstractNumId w:val="0"/>
  </w:num>
  <w:num w:numId="12">
    <w:abstractNumId w:val="1"/>
  </w:num>
  <w:num w:numId="13">
    <w:abstractNumId w:val="14"/>
  </w:num>
  <w:num w:numId="14">
    <w:abstractNumId w:val="6"/>
  </w:num>
  <w:num w:numId="15">
    <w:abstractNumId w:val="3"/>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65C"/>
    <w:rsid w:val="00015DEC"/>
    <w:rsid w:val="00032735"/>
    <w:rsid w:val="00060617"/>
    <w:rsid w:val="00136E10"/>
    <w:rsid w:val="001414E2"/>
    <w:rsid w:val="001577BB"/>
    <w:rsid w:val="00173AE6"/>
    <w:rsid w:val="00175B92"/>
    <w:rsid w:val="00186E99"/>
    <w:rsid w:val="0019272A"/>
    <w:rsid w:val="001B4280"/>
    <w:rsid w:val="001D3B1C"/>
    <w:rsid w:val="001E656A"/>
    <w:rsid w:val="001F7704"/>
    <w:rsid w:val="002106D8"/>
    <w:rsid w:val="0023501C"/>
    <w:rsid w:val="00242B24"/>
    <w:rsid w:val="00244A8C"/>
    <w:rsid w:val="0025065C"/>
    <w:rsid w:val="00274A3E"/>
    <w:rsid w:val="00282E99"/>
    <w:rsid w:val="002C2C9B"/>
    <w:rsid w:val="00314283"/>
    <w:rsid w:val="00336888"/>
    <w:rsid w:val="00367CE6"/>
    <w:rsid w:val="00367F01"/>
    <w:rsid w:val="003A7497"/>
    <w:rsid w:val="003B1D37"/>
    <w:rsid w:val="003B3C00"/>
    <w:rsid w:val="003E095C"/>
    <w:rsid w:val="004049B2"/>
    <w:rsid w:val="00431601"/>
    <w:rsid w:val="004432DE"/>
    <w:rsid w:val="0047678E"/>
    <w:rsid w:val="00491EAE"/>
    <w:rsid w:val="00492B9C"/>
    <w:rsid w:val="004C1EE7"/>
    <w:rsid w:val="004D0CB0"/>
    <w:rsid w:val="00525FDD"/>
    <w:rsid w:val="005433C0"/>
    <w:rsid w:val="00561EAF"/>
    <w:rsid w:val="005833D3"/>
    <w:rsid w:val="00592316"/>
    <w:rsid w:val="005948C8"/>
    <w:rsid w:val="005A46F2"/>
    <w:rsid w:val="005E3638"/>
    <w:rsid w:val="006328FB"/>
    <w:rsid w:val="00641EA8"/>
    <w:rsid w:val="00650561"/>
    <w:rsid w:val="00660E00"/>
    <w:rsid w:val="0070515E"/>
    <w:rsid w:val="00722536"/>
    <w:rsid w:val="00733A74"/>
    <w:rsid w:val="00753DDE"/>
    <w:rsid w:val="00773AF4"/>
    <w:rsid w:val="00777694"/>
    <w:rsid w:val="007A0C07"/>
    <w:rsid w:val="007A24D0"/>
    <w:rsid w:val="007A745D"/>
    <w:rsid w:val="007D2138"/>
    <w:rsid w:val="007E5B5B"/>
    <w:rsid w:val="007F0923"/>
    <w:rsid w:val="007F307E"/>
    <w:rsid w:val="00811990"/>
    <w:rsid w:val="008167B6"/>
    <w:rsid w:val="00857CB4"/>
    <w:rsid w:val="009070C0"/>
    <w:rsid w:val="00960EA9"/>
    <w:rsid w:val="009A10D6"/>
    <w:rsid w:val="009B1E51"/>
    <w:rsid w:val="009E70EC"/>
    <w:rsid w:val="00A023DA"/>
    <w:rsid w:val="00A27964"/>
    <w:rsid w:val="00A41090"/>
    <w:rsid w:val="00A43F4A"/>
    <w:rsid w:val="00A472E6"/>
    <w:rsid w:val="00A7357C"/>
    <w:rsid w:val="00B1498F"/>
    <w:rsid w:val="00B44E81"/>
    <w:rsid w:val="00B4567A"/>
    <w:rsid w:val="00B458BE"/>
    <w:rsid w:val="00B46672"/>
    <w:rsid w:val="00B52390"/>
    <w:rsid w:val="00B70743"/>
    <w:rsid w:val="00B74729"/>
    <w:rsid w:val="00B9077D"/>
    <w:rsid w:val="00BA5360"/>
    <w:rsid w:val="00BA6189"/>
    <w:rsid w:val="00BC20DF"/>
    <w:rsid w:val="00BF5B04"/>
    <w:rsid w:val="00C03456"/>
    <w:rsid w:val="00C051C0"/>
    <w:rsid w:val="00C217D3"/>
    <w:rsid w:val="00C330AE"/>
    <w:rsid w:val="00C34B62"/>
    <w:rsid w:val="00C42D88"/>
    <w:rsid w:val="00C91B52"/>
    <w:rsid w:val="00CA166F"/>
    <w:rsid w:val="00CA3C6E"/>
    <w:rsid w:val="00CE7E93"/>
    <w:rsid w:val="00D11485"/>
    <w:rsid w:val="00D57F6E"/>
    <w:rsid w:val="00D65404"/>
    <w:rsid w:val="00D72A76"/>
    <w:rsid w:val="00DC13F3"/>
    <w:rsid w:val="00DC47E6"/>
    <w:rsid w:val="00DE1D7A"/>
    <w:rsid w:val="00DF7918"/>
    <w:rsid w:val="00E51523"/>
    <w:rsid w:val="00E5316B"/>
    <w:rsid w:val="00E63A15"/>
    <w:rsid w:val="00E644E9"/>
    <w:rsid w:val="00E67D5E"/>
    <w:rsid w:val="00E730E9"/>
    <w:rsid w:val="00E75B53"/>
    <w:rsid w:val="00E90A48"/>
    <w:rsid w:val="00EA2E70"/>
    <w:rsid w:val="00EB0529"/>
    <w:rsid w:val="00EC4FF0"/>
    <w:rsid w:val="00ED0E57"/>
    <w:rsid w:val="00F10C43"/>
    <w:rsid w:val="00F41729"/>
    <w:rsid w:val="00F871F0"/>
    <w:rsid w:val="00FA52BD"/>
    <w:rsid w:val="00FD1BC8"/>
    <w:rsid w:val="00FD513C"/>
    <w:rsid w:val="00FE5044"/>
    <w:rsid w:val="00FF6F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5B3DF"/>
  <w15:chartTrackingRefBased/>
  <w15:docId w15:val="{6F439048-379E-4FDD-839C-55EABB702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1EA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4D0CB0"/>
    <w:pPr>
      <w:autoSpaceDE w:val="0"/>
      <w:autoSpaceDN w:val="0"/>
      <w:adjustRightInd w:val="0"/>
      <w:spacing w:after="0" w:line="240" w:lineRule="auto"/>
    </w:pPr>
    <w:rPr>
      <w:rFonts w:ascii="Gill Sans MT" w:hAnsi="Gill Sans MT" w:cs="Gill Sans MT"/>
      <w:color w:val="000000"/>
      <w:sz w:val="24"/>
      <w:szCs w:val="24"/>
    </w:rPr>
  </w:style>
  <w:style w:type="paragraph" w:styleId="En-tte">
    <w:name w:val="header"/>
    <w:basedOn w:val="Normal"/>
    <w:link w:val="En-tteCar"/>
    <w:uiPriority w:val="99"/>
    <w:unhideWhenUsed/>
    <w:rsid w:val="00B9077D"/>
    <w:pPr>
      <w:tabs>
        <w:tab w:val="center" w:pos="4536"/>
        <w:tab w:val="right" w:pos="9072"/>
      </w:tabs>
      <w:spacing w:after="0" w:line="240" w:lineRule="auto"/>
    </w:pPr>
  </w:style>
  <w:style w:type="character" w:customStyle="1" w:styleId="En-tteCar">
    <w:name w:val="En-tête Car"/>
    <w:basedOn w:val="Policepardfaut"/>
    <w:link w:val="En-tte"/>
    <w:uiPriority w:val="99"/>
    <w:rsid w:val="00B9077D"/>
  </w:style>
  <w:style w:type="paragraph" w:styleId="Pieddepage">
    <w:name w:val="footer"/>
    <w:basedOn w:val="Normal"/>
    <w:link w:val="PieddepageCar"/>
    <w:uiPriority w:val="99"/>
    <w:unhideWhenUsed/>
    <w:rsid w:val="00B9077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9077D"/>
  </w:style>
  <w:style w:type="paragraph" w:styleId="Paragraphedeliste">
    <w:name w:val="List Paragraph"/>
    <w:basedOn w:val="Normal"/>
    <w:uiPriority w:val="34"/>
    <w:qFormat/>
    <w:rsid w:val="00753DDE"/>
    <w:pPr>
      <w:ind w:left="720"/>
      <w:contextualSpacing/>
    </w:pPr>
  </w:style>
  <w:style w:type="paragraph" w:customStyle="1" w:styleId="Auditnormal">
    <w:name w:val="Audit_normal"/>
    <w:basedOn w:val="Normal"/>
    <w:rsid w:val="00753DDE"/>
    <w:pPr>
      <w:spacing w:before="120" w:after="0" w:line="240" w:lineRule="auto"/>
      <w:jc w:val="both"/>
    </w:pPr>
    <w:rPr>
      <w:rFonts w:ascii="Times New Roman" w:eastAsia="Times New Roman" w:hAnsi="Times New Roman" w:cs="Times New Roman"/>
      <w:color w:val="000000"/>
      <w:szCs w:val="20"/>
      <w:lang w:eastAsia="fr-FR"/>
    </w:rPr>
  </w:style>
  <w:style w:type="paragraph" w:customStyle="1" w:styleId="AuditnconclusionTitre">
    <w:name w:val="Audit_n/conclusion_Titre"/>
    <w:basedOn w:val="Auditnormal"/>
    <w:rsid w:val="00753DDE"/>
    <w:pPr>
      <w:spacing w:after="360"/>
      <w:jc w:val="center"/>
    </w:pPr>
    <w:rPr>
      <w:b/>
      <w:sz w:val="28"/>
    </w:rPr>
  </w:style>
  <w:style w:type="paragraph" w:customStyle="1" w:styleId="AuditnconclusionChapitre">
    <w:name w:val="Audit_n/conclusion_Chapitre"/>
    <w:basedOn w:val="Auditnormal"/>
    <w:rsid w:val="00753DDE"/>
    <w:pPr>
      <w:numPr>
        <w:numId w:val="1"/>
      </w:numPr>
      <w:spacing w:after="120"/>
      <w:jc w:val="left"/>
      <w:outlineLvl w:val="0"/>
    </w:pPr>
    <w:rPr>
      <w:b/>
      <w:sz w:val="26"/>
    </w:rPr>
  </w:style>
  <w:style w:type="paragraph" w:customStyle="1" w:styleId="AuditnconclusionTitreattribut">
    <w:name w:val="Audit_n/conclusion_Titre attribut"/>
    <w:basedOn w:val="Auditnormal"/>
    <w:rsid w:val="00753DDE"/>
    <w:pPr>
      <w:spacing w:after="120"/>
      <w:jc w:val="left"/>
      <w:outlineLvl w:val="1"/>
    </w:pPr>
    <w:rPr>
      <w:b/>
      <w:sz w:val="24"/>
    </w:rPr>
  </w:style>
  <w:style w:type="paragraph" w:styleId="Notedebasdepage">
    <w:name w:val="footnote text"/>
    <w:basedOn w:val="Normal"/>
    <w:link w:val="NotedebasdepageCar"/>
    <w:semiHidden/>
    <w:rsid w:val="00EB0529"/>
    <w:pPr>
      <w:spacing w:after="0" w:line="240" w:lineRule="auto"/>
    </w:pPr>
    <w:rPr>
      <w:rFonts w:ascii="Times New Roman" w:eastAsia="Times New Roman" w:hAnsi="Times New Roman" w:cs="Times New Roman"/>
      <w:color w:val="000000"/>
      <w:sz w:val="20"/>
      <w:szCs w:val="20"/>
      <w:lang w:eastAsia="fr-FR"/>
    </w:rPr>
  </w:style>
  <w:style w:type="character" w:customStyle="1" w:styleId="NotedebasdepageCar">
    <w:name w:val="Note de bas de page Car"/>
    <w:basedOn w:val="Policepardfaut"/>
    <w:link w:val="Notedebasdepage"/>
    <w:semiHidden/>
    <w:rsid w:val="00EB0529"/>
    <w:rPr>
      <w:rFonts w:ascii="Times New Roman" w:eastAsia="Times New Roman" w:hAnsi="Times New Roman" w:cs="Times New Roman"/>
      <w:color w:val="000000"/>
      <w:sz w:val="20"/>
      <w:szCs w:val="20"/>
      <w:lang w:eastAsia="fr-FR"/>
    </w:rPr>
  </w:style>
  <w:style w:type="character" w:styleId="Appelnotedebasdep">
    <w:name w:val="footnote reference"/>
    <w:semiHidden/>
    <w:rsid w:val="00EB0529"/>
    <w:rPr>
      <w:vertAlign w:val="superscript"/>
    </w:rPr>
  </w:style>
  <w:style w:type="character" w:styleId="Marquedecommentaire">
    <w:name w:val="annotation reference"/>
    <w:basedOn w:val="Policepardfaut"/>
    <w:uiPriority w:val="99"/>
    <w:semiHidden/>
    <w:unhideWhenUsed/>
    <w:rsid w:val="00E730E9"/>
    <w:rPr>
      <w:sz w:val="16"/>
      <w:szCs w:val="16"/>
    </w:rPr>
  </w:style>
  <w:style w:type="paragraph" w:styleId="Commentaire">
    <w:name w:val="annotation text"/>
    <w:basedOn w:val="Normal"/>
    <w:link w:val="CommentaireCar"/>
    <w:uiPriority w:val="99"/>
    <w:semiHidden/>
    <w:unhideWhenUsed/>
    <w:rsid w:val="00E730E9"/>
    <w:pPr>
      <w:spacing w:line="240" w:lineRule="auto"/>
    </w:pPr>
    <w:rPr>
      <w:sz w:val="20"/>
      <w:szCs w:val="20"/>
    </w:rPr>
  </w:style>
  <w:style w:type="character" w:customStyle="1" w:styleId="CommentaireCar">
    <w:name w:val="Commentaire Car"/>
    <w:basedOn w:val="Policepardfaut"/>
    <w:link w:val="Commentaire"/>
    <w:uiPriority w:val="99"/>
    <w:semiHidden/>
    <w:rsid w:val="00E730E9"/>
    <w:rPr>
      <w:sz w:val="20"/>
      <w:szCs w:val="20"/>
    </w:rPr>
  </w:style>
  <w:style w:type="paragraph" w:styleId="Objetducommentaire">
    <w:name w:val="annotation subject"/>
    <w:basedOn w:val="Commentaire"/>
    <w:next w:val="Commentaire"/>
    <w:link w:val="ObjetducommentaireCar"/>
    <w:uiPriority w:val="99"/>
    <w:semiHidden/>
    <w:unhideWhenUsed/>
    <w:rsid w:val="00E730E9"/>
    <w:rPr>
      <w:b/>
      <w:bCs/>
    </w:rPr>
  </w:style>
  <w:style w:type="character" w:customStyle="1" w:styleId="ObjetducommentaireCar">
    <w:name w:val="Objet du commentaire Car"/>
    <w:basedOn w:val="CommentaireCar"/>
    <w:link w:val="Objetducommentaire"/>
    <w:uiPriority w:val="99"/>
    <w:semiHidden/>
    <w:rsid w:val="00E730E9"/>
    <w:rPr>
      <w:b/>
      <w:bCs/>
      <w:sz w:val="20"/>
      <w:szCs w:val="20"/>
    </w:rPr>
  </w:style>
  <w:style w:type="paragraph" w:styleId="Textedebulles">
    <w:name w:val="Balloon Text"/>
    <w:basedOn w:val="Normal"/>
    <w:link w:val="TextedebullesCar"/>
    <w:uiPriority w:val="99"/>
    <w:semiHidden/>
    <w:unhideWhenUsed/>
    <w:rsid w:val="00E730E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730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6798926">
      <w:bodyDiv w:val="1"/>
      <w:marLeft w:val="0"/>
      <w:marRight w:val="0"/>
      <w:marTop w:val="0"/>
      <w:marBottom w:val="0"/>
      <w:divBdr>
        <w:top w:val="none" w:sz="0" w:space="0" w:color="auto"/>
        <w:left w:val="none" w:sz="0" w:space="0" w:color="auto"/>
        <w:bottom w:val="none" w:sz="0" w:space="0" w:color="auto"/>
        <w:right w:val="none" w:sz="0" w:space="0" w:color="auto"/>
      </w:divBdr>
    </w:div>
    <w:div w:id="937911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package" Target="embeddings/Feuille_de_calcul_Microsoft_Excel.xlsx"/><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png"/><Relationship Id="rId19" Type="http://schemas.openxmlformats.org/officeDocument/2006/relationships/image" Target="media/image12.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13</Pages>
  <Words>2336</Words>
  <Characters>12848</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SCHNELL</dc:creator>
  <cp:keywords/>
  <dc:description/>
  <cp:lastModifiedBy>Aurélie SCHNELL</cp:lastModifiedBy>
  <cp:revision>6</cp:revision>
  <dcterms:created xsi:type="dcterms:W3CDTF">2025-03-04T20:02:00Z</dcterms:created>
  <dcterms:modified xsi:type="dcterms:W3CDTF">2025-03-04T23:29:00Z</dcterms:modified>
</cp:coreProperties>
</file>